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8"/>
        <w:gridCol w:w="7380"/>
      </w:tblGrid>
      <w:tr w:rsidR="00D52FF7" w:rsidRPr="007E03E7" w:rsidTr="007E03E7">
        <w:trPr>
          <w:jc w:val="center"/>
        </w:trPr>
        <w:tc>
          <w:tcPr>
            <w:tcW w:w="10998" w:type="dxa"/>
            <w:gridSpan w:val="2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52FF7" w:rsidRPr="007E03E7" w:rsidRDefault="00D52FF7" w:rsidP="007E03E7">
            <w:pPr>
              <w:tabs>
                <w:tab w:val="left" w:pos="1995"/>
              </w:tabs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7E03E7">
              <w:rPr>
                <w:rFonts w:ascii="Arial" w:hAnsi="Arial" w:cs="Arial"/>
                <w:b/>
                <w:sz w:val="20"/>
                <w:szCs w:val="20"/>
              </w:rPr>
              <w:t xml:space="preserve">General Course Information </w:t>
            </w:r>
          </w:p>
        </w:tc>
      </w:tr>
      <w:tr w:rsidR="00D52FF7" w:rsidRPr="007E03E7" w:rsidTr="007E03E7">
        <w:trPr>
          <w:jc w:val="center"/>
        </w:trPr>
        <w:tc>
          <w:tcPr>
            <w:tcW w:w="3618" w:type="dxa"/>
            <w:tcBorders>
              <w:bottom w:val="nil"/>
              <w:right w:val="nil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Prerequisite:</w:t>
            </w:r>
          </w:p>
        </w:tc>
        <w:tc>
          <w:tcPr>
            <w:tcW w:w="7380" w:type="dxa"/>
            <w:tcBorders>
              <w:left w:val="nil"/>
              <w:bottom w:val="nil"/>
            </w:tcBorders>
            <w:shd w:val="clear" w:color="auto" w:fill="auto"/>
          </w:tcPr>
          <w:p w:rsidR="00D52FF7" w:rsidRPr="007E03E7" w:rsidRDefault="00026067" w:rsidP="00D52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Grade 10 Applied Math (MFM2P) or Grade 10 Academic Math (or MPM2D)</w:t>
            </w:r>
          </w:p>
        </w:tc>
      </w:tr>
      <w:tr w:rsidR="00D52FF7" w:rsidRPr="007E03E7" w:rsidTr="007E03E7">
        <w:trPr>
          <w:jc w:val="center"/>
        </w:trPr>
        <w:tc>
          <w:tcPr>
            <w:tcW w:w="36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Teacher: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FF7" w:rsidRPr="007E03E7" w:rsidRDefault="00AE5719" w:rsidP="007843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(416-395-3140 Ext 20080)</w:t>
            </w:r>
          </w:p>
        </w:tc>
      </w:tr>
      <w:tr w:rsidR="00D52FF7" w:rsidRPr="007E03E7" w:rsidTr="007E03E7">
        <w:trPr>
          <w:jc w:val="center"/>
        </w:trPr>
        <w:tc>
          <w:tcPr>
            <w:tcW w:w="36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Department: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FF7" w:rsidRPr="007E03E7" w:rsidRDefault="00040B5C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Math</w:t>
            </w:r>
            <w:r w:rsidR="00AE5719">
              <w:rPr>
                <w:rFonts w:ascii="Arial" w:hAnsi="Arial" w:cs="Arial"/>
                <w:sz w:val="20"/>
                <w:szCs w:val="20"/>
              </w:rPr>
              <w:t>ematics</w:t>
            </w:r>
          </w:p>
        </w:tc>
      </w:tr>
      <w:tr w:rsidR="00D52FF7" w:rsidRPr="007E03E7" w:rsidTr="007E03E7">
        <w:trPr>
          <w:jc w:val="center"/>
        </w:trPr>
        <w:tc>
          <w:tcPr>
            <w:tcW w:w="36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FF7" w:rsidRPr="007E03E7" w:rsidRDefault="00D52FF7" w:rsidP="0078435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2FF7" w:rsidRPr="007E03E7" w:rsidTr="007E03E7">
        <w:trPr>
          <w:jc w:val="center"/>
        </w:trPr>
        <w:tc>
          <w:tcPr>
            <w:tcW w:w="36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Extra Help: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FF7" w:rsidRPr="007E03E7" w:rsidRDefault="008712DF" w:rsidP="00D52F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 appointment: Before school, lunch and after school</w:t>
            </w:r>
          </w:p>
        </w:tc>
      </w:tr>
      <w:tr w:rsidR="00D52FF7" w:rsidRPr="007E03E7" w:rsidTr="007E03E7">
        <w:trPr>
          <w:jc w:val="center"/>
        </w:trPr>
        <w:tc>
          <w:tcPr>
            <w:tcW w:w="36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Textbook and Replacement Cost: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FF7" w:rsidRPr="007E03E7" w:rsidRDefault="002F54EA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Functions and Applications 11</w:t>
            </w:r>
            <w:r w:rsidR="00D52FF7" w:rsidRPr="007E03E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E03E7">
              <w:rPr>
                <w:rFonts w:ascii="Arial" w:hAnsi="Arial" w:cs="Arial"/>
                <w:sz w:val="20"/>
                <w:szCs w:val="20"/>
              </w:rPr>
              <w:t>$80</w:t>
            </w:r>
          </w:p>
        </w:tc>
      </w:tr>
      <w:tr w:rsidR="00D52FF7" w:rsidRPr="007E03E7" w:rsidTr="007E03E7">
        <w:trPr>
          <w:jc w:val="center"/>
        </w:trPr>
        <w:tc>
          <w:tcPr>
            <w:tcW w:w="36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Material Required: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FF7" w:rsidRPr="007E03E7" w:rsidRDefault="002F54EA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 xml:space="preserve">3-ring binder, calculator, ruler, pencil, graph paper </w:t>
            </w:r>
          </w:p>
        </w:tc>
      </w:tr>
      <w:tr w:rsidR="00D52FF7" w:rsidRPr="007E03E7" w:rsidTr="007E03E7">
        <w:trPr>
          <w:jc w:val="center"/>
        </w:trPr>
        <w:tc>
          <w:tcPr>
            <w:tcW w:w="36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Course Fee: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52FF7" w:rsidRPr="007E03E7" w:rsidRDefault="00154CB6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D52FF7" w:rsidRPr="007E03E7" w:rsidTr="007E03E7">
        <w:trPr>
          <w:jc w:val="center"/>
        </w:trPr>
        <w:tc>
          <w:tcPr>
            <w:tcW w:w="361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2FF7" w:rsidRPr="007E03E7" w:rsidTr="007E03E7">
        <w:trPr>
          <w:jc w:val="center"/>
        </w:trPr>
        <w:tc>
          <w:tcPr>
            <w:tcW w:w="10998" w:type="dxa"/>
            <w:gridSpan w:val="2"/>
            <w:shd w:val="clear" w:color="auto" w:fill="C0C0C0"/>
            <w:vAlign w:val="center"/>
          </w:tcPr>
          <w:p w:rsidR="00D52FF7" w:rsidRPr="007E03E7" w:rsidRDefault="00D52FF7" w:rsidP="00D52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03E7">
              <w:rPr>
                <w:rFonts w:ascii="Arial" w:hAnsi="Arial" w:cs="Arial"/>
                <w:b/>
                <w:sz w:val="20"/>
                <w:szCs w:val="20"/>
              </w:rPr>
              <w:t>Course Description</w:t>
            </w:r>
          </w:p>
        </w:tc>
      </w:tr>
      <w:tr w:rsidR="00D52FF7" w:rsidRPr="007E03E7" w:rsidTr="007E03E7">
        <w:trPr>
          <w:jc w:val="center"/>
        </w:trPr>
        <w:tc>
          <w:tcPr>
            <w:tcW w:w="10998" w:type="dxa"/>
            <w:gridSpan w:val="2"/>
            <w:tcBorders>
              <w:bottom w:val="nil"/>
            </w:tcBorders>
            <w:shd w:val="clear" w:color="auto" w:fill="auto"/>
          </w:tcPr>
          <w:p w:rsidR="002F54EA" w:rsidRPr="007E03E7" w:rsidRDefault="002F54EA" w:rsidP="007E03E7">
            <w:pPr>
              <w:autoSpaceDE w:val="0"/>
              <w:autoSpaceDN w:val="0"/>
              <w:adjustRightInd w:val="0"/>
              <w:rPr>
                <w:rFonts w:ascii="Arial" w:hAnsi="Arial" w:cs="Arial"/>
                <w:color w:val="231F20"/>
                <w:sz w:val="20"/>
                <w:szCs w:val="20"/>
              </w:rPr>
            </w:pPr>
            <w:r w:rsidRPr="007E03E7">
              <w:rPr>
                <w:rFonts w:ascii="Arial" w:hAnsi="Arial" w:cs="Arial"/>
                <w:color w:val="231F20"/>
                <w:sz w:val="20"/>
                <w:szCs w:val="20"/>
              </w:rPr>
              <w:t>This course introduces basic features of the function by extending students’ experiences with quadratic relations. It focuses on quadratic, trigonometric, and exponential functions and their use in modelling real-world situations. Students will represent functions numerically, graphically, and algebraically; simplify expressions; solve equations; and</w:t>
            </w:r>
          </w:p>
          <w:p w:rsidR="00D52FF7" w:rsidRPr="007E03E7" w:rsidRDefault="002F54EA" w:rsidP="007E0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color w:val="231F20"/>
                <w:sz w:val="20"/>
                <w:szCs w:val="20"/>
              </w:rPr>
              <w:t>solve problems relating to applications. Students will reason mathematically and communicate their thinking as they solve multi-step problems.</w:t>
            </w:r>
          </w:p>
          <w:p w:rsidR="00D52FF7" w:rsidRPr="007E03E7" w:rsidRDefault="00D52FF7" w:rsidP="007E03E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52FF7" w:rsidRPr="007E03E7" w:rsidRDefault="00D52FF7" w:rsidP="007E03E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 xml:space="preserve">The course is organized into </w:t>
            </w:r>
            <w:r w:rsidR="00E92CFA">
              <w:rPr>
                <w:rFonts w:ascii="Arial" w:hAnsi="Arial" w:cs="Arial"/>
                <w:sz w:val="20"/>
                <w:szCs w:val="20"/>
              </w:rPr>
              <w:t>3</w:t>
            </w:r>
            <w:r w:rsidRPr="007E03E7">
              <w:rPr>
                <w:rFonts w:ascii="Arial" w:hAnsi="Arial" w:cs="Arial"/>
                <w:sz w:val="20"/>
                <w:szCs w:val="20"/>
              </w:rPr>
              <w:t xml:space="preserve"> strands:</w:t>
            </w:r>
          </w:p>
          <w:p w:rsidR="00D52FF7" w:rsidRPr="007E03E7" w:rsidRDefault="00503F05" w:rsidP="007E03E7">
            <w:pPr>
              <w:numPr>
                <w:ilvl w:val="0"/>
                <w:numId w:val="1"/>
              </w:num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Quadratic Functions, Exponential Functions, Trigonometric Functions</w:t>
            </w:r>
          </w:p>
          <w:p w:rsidR="00D52FF7" w:rsidRPr="007E03E7" w:rsidRDefault="00D52FF7" w:rsidP="007E03E7">
            <w:pPr>
              <w:tabs>
                <w:tab w:val="left" w:pos="1980"/>
              </w:tabs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F27546" w:rsidRPr="007E03E7" w:rsidRDefault="00D52FF7" w:rsidP="007E03E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 xml:space="preserve">A detailed list of the course expectations can be found at </w:t>
            </w:r>
            <w:r w:rsidR="00503F05" w:rsidRPr="007E03E7">
              <w:rPr>
                <w:rFonts w:ascii="Arial" w:hAnsi="Arial" w:cs="Arial"/>
                <w:sz w:val="20"/>
                <w:szCs w:val="20"/>
              </w:rPr>
              <w:t>http://www.edu.gov.on.ca/eng/curriculum/secondary/math1112currb.pdf</w:t>
            </w:r>
          </w:p>
        </w:tc>
      </w:tr>
      <w:tr w:rsidR="00D52FF7" w:rsidRPr="007E03E7" w:rsidTr="007E03E7">
        <w:trPr>
          <w:jc w:val="center"/>
        </w:trPr>
        <w:tc>
          <w:tcPr>
            <w:tcW w:w="10998" w:type="dxa"/>
            <w:gridSpan w:val="2"/>
            <w:tcBorders>
              <w:top w:val="nil"/>
            </w:tcBorders>
            <w:shd w:val="clear" w:color="auto" w:fill="auto"/>
          </w:tcPr>
          <w:p w:rsidR="00F27546" w:rsidRPr="007E03E7" w:rsidRDefault="00F27546" w:rsidP="00D52FF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2FF7" w:rsidRPr="007E03E7" w:rsidTr="007E03E7">
        <w:trPr>
          <w:jc w:val="center"/>
        </w:trPr>
        <w:tc>
          <w:tcPr>
            <w:tcW w:w="10998" w:type="dxa"/>
            <w:gridSpan w:val="2"/>
            <w:shd w:val="clear" w:color="auto" w:fill="C0C0C0"/>
            <w:vAlign w:val="center"/>
          </w:tcPr>
          <w:p w:rsidR="00D52FF7" w:rsidRPr="007E03E7" w:rsidRDefault="00D52FF7" w:rsidP="00D52F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03E7">
              <w:rPr>
                <w:rFonts w:ascii="Arial" w:hAnsi="Arial" w:cs="Arial"/>
                <w:b/>
                <w:sz w:val="20"/>
                <w:szCs w:val="20"/>
              </w:rPr>
              <w:t>Assessment and Evaluation</w:t>
            </w:r>
          </w:p>
        </w:tc>
      </w:tr>
      <w:tr w:rsidR="00D52FF7" w:rsidRPr="007E03E7" w:rsidTr="007E03E7">
        <w:trPr>
          <w:trHeight w:val="90"/>
          <w:jc w:val="center"/>
        </w:trPr>
        <w:tc>
          <w:tcPr>
            <w:tcW w:w="109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2FF7" w:rsidRPr="007E03E7" w:rsidRDefault="00D52FF7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To promote student success, ongoing assessment and feedback will be given regularly to the students.  A variety of assessment and evaluation strat</w:t>
            </w:r>
            <w:r w:rsidR="00C5164E" w:rsidRPr="007E03E7">
              <w:rPr>
                <w:rFonts w:ascii="Arial" w:hAnsi="Arial" w:cs="Arial"/>
                <w:sz w:val="20"/>
                <w:szCs w:val="20"/>
              </w:rPr>
              <w:t>e</w:t>
            </w:r>
            <w:r w:rsidRPr="007E03E7">
              <w:rPr>
                <w:rFonts w:ascii="Arial" w:hAnsi="Arial" w:cs="Arial"/>
                <w:sz w:val="20"/>
                <w:szCs w:val="20"/>
              </w:rPr>
              <w:t xml:space="preserve">gies will be used in this course, including </w:t>
            </w:r>
            <w:r w:rsidR="00503F05" w:rsidRPr="007E03E7">
              <w:rPr>
                <w:rFonts w:ascii="Arial" w:hAnsi="Arial" w:cs="Arial"/>
                <w:sz w:val="20"/>
                <w:szCs w:val="20"/>
              </w:rPr>
              <w:t>tests, quizzes,</w:t>
            </w:r>
            <w:r w:rsidR="00E92CFA">
              <w:rPr>
                <w:rFonts w:ascii="Arial" w:hAnsi="Arial" w:cs="Arial"/>
                <w:sz w:val="20"/>
                <w:szCs w:val="20"/>
              </w:rPr>
              <w:t xml:space="preserve"> and assignments</w:t>
            </w:r>
            <w:r w:rsidRPr="007E03E7">
              <w:rPr>
                <w:rFonts w:ascii="Arial" w:hAnsi="Arial" w:cs="Arial"/>
                <w:sz w:val="20"/>
                <w:szCs w:val="20"/>
              </w:rPr>
              <w:t>.  Expectations will be evaluated based on the provincial curriculum expectations and the achievement levels outlined in the ministry document.</w:t>
            </w:r>
          </w:p>
          <w:p w:rsidR="00D52FF7" w:rsidRPr="007E03E7" w:rsidRDefault="00D52FF7" w:rsidP="00D52FF7">
            <w:pPr>
              <w:rPr>
                <w:rFonts w:ascii="Arial" w:hAnsi="Arial" w:cs="Arial"/>
                <w:sz w:val="16"/>
                <w:szCs w:val="16"/>
              </w:rPr>
            </w:pPr>
          </w:p>
          <w:p w:rsidR="00D52FF7" w:rsidRPr="007E03E7" w:rsidRDefault="00D52FF7" w:rsidP="00D52FF7">
            <w:pPr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Expectations are organized into four categories of knowledge and skills.  The categories and their corresponding weighting is as follows:</w:t>
            </w:r>
          </w:p>
          <w:tbl>
            <w:tblPr>
              <w:tblW w:w="0" w:type="auto"/>
              <w:tblInd w:w="612" w:type="dxa"/>
              <w:tblLook w:val="01E0" w:firstRow="1" w:lastRow="1" w:firstColumn="1" w:lastColumn="1" w:noHBand="0" w:noVBand="0"/>
            </w:tblPr>
            <w:tblGrid>
              <w:gridCol w:w="3632"/>
              <w:gridCol w:w="4657"/>
            </w:tblGrid>
            <w:tr w:rsidR="00D52FF7" w:rsidRPr="007E03E7" w:rsidTr="007E03E7">
              <w:tc>
                <w:tcPr>
                  <w:tcW w:w="3632" w:type="dxa"/>
                  <w:shd w:val="clear" w:color="auto" w:fill="auto"/>
                </w:tcPr>
                <w:p w:rsidR="00D52FF7" w:rsidRPr="007E03E7" w:rsidRDefault="00D52FF7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03E7">
                    <w:rPr>
                      <w:rFonts w:ascii="Arial" w:hAnsi="Arial" w:cs="Arial"/>
                      <w:sz w:val="20"/>
                      <w:szCs w:val="20"/>
                    </w:rPr>
                    <w:t>Knowledge and Understanding</w:t>
                  </w:r>
                </w:p>
              </w:tc>
              <w:tc>
                <w:tcPr>
                  <w:tcW w:w="4657" w:type="dxa"/>
                  <w:shd w:val="clear" w:color="auto" w:fill="auto"/>
                </w:tcPr>
                <w:p w:rsidR="00D52FF7" w:rsidRPr="007E03E7" w:rsidRDefault="006D611A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20 - </w:t>
                  </w:r>
                  <w:r w:rsidR="00503F05" w:rsidRPr="007E03E7">
                    <w:rPr>
                      <w:rFonts w:ascii="Arial" w:hAnsi="Arial" w:cs="Arial"/>
                      <w:sz w:val="20"/>
                      <w:szCs w:val="20"/>
                    </w:rPr>
                    <w:t>35%</w:t>
                  </w:r>
                </w:p>
              </w:tc>
            </w:tr>
            <w:tr w:rsidR="00D52FF7" w:rsidRPr="007E03E7" w:rsidTr="007E03E7">
              <w:tc>
                <w:tcPr>
                  <w:tcW w:w="3632" w:type="dxa"/>
                  <w:shd w:val="clear" w:color="auto" w:fill="auto"/>
                </w:tcPr>
                <w:p w:rsidR="00D52FF7" w:rsidRPr="007E03E7" w:rsidRDefault="00D52FF7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03E7">
                    <w:rPr>
                      <w:rFonts w:ascii="Arial" w:hAnsi="Arial" w:cs="Arial"/>
                      <w:sz w:val="20"/>
                      <w:szCs w:val="20"/>
                    </w:rPr>
                    <w:t>Thinking</w:t>
                  </w:r>
                </w:p>
              </w:tc>
              <w:tc>
                <w:tcPr>
                  <w:tcW w:w="4657" w:type="dxa"/>
                  <w:shd w:val="clear" w:color="auto" w:fill="auto"/>
                </w:tcPr>
                <w:p w:rsidR="00D52FF7" w:rsidRPr="007E03E7" w:rsidRDefault="00503F05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03E7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="006D611A">
                    <w:rPr>
                      <w:rFonts w:ascii="Arial" w:hAnsi="Arial" w:cs="Arial"/>
                      <w:sz w:val="20"/>
                      <w:szCs w:val="20"/>
                    </w:rPr>
                    <w:t xml:space="preserve"> - 25</w:t>
                  </w:r>
                  <w:r w:rsidR="00D52FF7" w:rsidRPr="007E03E7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D52FF7" w:rsidRPr="007E03E7" w:rsidTr="007E03E7">
              <w:tc>
                <w:tcPr>
                  <w:tcW w:w="3632" w:type="dxa"/>
                  <w:shd w:val="clear" w:color="auto" w:fill="auto"/>
                </w:tcPr>
                <w:p w:rsidR="00D52FF7" w:rsidRPr="007E03E7" w:rsidRDefault="00D52FF7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03E7">
                    <w:rPr>
                      <w:rFonts w:ascii="Arial" w:hAnsi="Arial" w:cs="Arial"/>
                      <w:sz w:val="20"/>
                      <w:szCs w:val="20"/>
                    </w:rPr>
                    <w:t>Communication</w:t>
                  </w:r>
                </w:p>
              </w:tc>
              <w:tc>
                <w:tcPr>
                  <w:tcW w:w="4657" w:type="dxa"/>
                  <w:shd w:val="clear" w:color="auto" w:fill="auto"/>
                </w:tcPr>
                <w:p w:rsidR="00D52FF7" w:rsidRPr="007E03E7" w:rsidRDefault="00503F05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03E7">
                    <w:rPr>
                      <w:rFonts w:ascii="Arial" w:hAnsi="Arial" w:cs="Arial"/>
                      <w:sz w:val="20"/>
                      <w:szCs w:val="20"/>
                    </w:rPr>
                    <w:t>15</w:t>
                  </w:r>
                  <w:r w:rsidR="00E379DB">
                    <w:rPr>
                      <w:rFonts w:ascii="Arial" w:hAnsi="Arial" w:cs="Arial"/>
                      <w:sz w:val="20"/>
                      <w:szCs w:val="20"/>
                    </w:rPr>
                    <w:t xml:space="preserve"> - 30</w:t>
                  </w:r>
                  <w:r w:rsidR="00D52FF7" w:rsidRPr="007E03E7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D52FF7" w:rsidRPr="007E03E7" w:rsidTr="007E03E7">
              <w:tc>
                <w:tcPr>
                  <w:tcW w:w="3632" w:type="dxa"/>
                  <w:shd w:val="clear" w:color="auto" w:fill="auto"/>
                </w:tcPr>
                <w:p w:rsidR="00D52FF7" w:rsidRPr="007E03E7" w:rsidRDefault="00D52FF7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03E7">
                    <w:rPr>
                      <w:rFonts w:ascii="Arial" w:hAnsi="Arial" w:cs="Arial"/>
                      <w:sz w:val="20"/>
                      <w:szCs w:val="20"/>
                    </w:rPr>
                    <w:t>Application</w:t>
                  </w:r>
                </w:p>
              </w:tc>
              <w:tc>
                <w:tcPr>
                  <w:tcW w:w="4657" w:type="dxa"/>
                  <w:shd w:val="clear" w:color="auto" w:fill="auto"/>
                </w:tcPr>
                <w:p w:rsidR="00D52FF7" w:rsidRPr="007E03E7" w:rsidRDefault="006D611A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15 - 25</w:t>
                  </w:r>
                  <w:r w:rsidR="00D52FF7" w:rsidRPr="007E03E7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</w:tbl>
          <w:p w:rsidR="00D52FF7" w:rsidRPr="007E03E7" w:rsidRDefault="00D52FF7" w:rsidP="007E03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52FF7" w:rsidRPr="007E03E7" w:rsidRDefault="00D52FF7" w:rsidP="007E0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Each student’s final mark will be in the form of a percentage grade based on their achievement in the 4 categories on the achievement chart.  The breakdown of the final mark is as followed:</w:t>
            </w:r>
          </w:p>
          <w:tbl>
            <w:tblPr>
              <w:tblW w:w="0" w:type="auto"/>
              <w:tblInd w:w="612" w:type="dxa"/>
              <w:tblLook w:val="01E0" w:firstRow="1" w:lastRow="1" w:firstColumn="1" w:lastColumn="1" w:noHBand="0" w:noVBand="0"/>
            </w:tblPr>
            <w:tblGrid>
              <w:gridCol w:w="3632"/>
              <w:gridCol w:w="830"/>
            </w:tblGrid>
            <w:tr w:rsidR="00D52FF7" w:rsidRPr="007E03E7" w:rsidTr="007E03E7">
              <w:tc>
                <w:tcPr>
                  <w:tcW w:w="3632" w:type="dxa"/>
                  <w:shd w:val="clear" w:color="auto" w:fill="auto"/>
                </w:tcPr>
                <w:p w:rsidR="00D52FF7" w:rsidRPr="007E03E7" w:rsidRDefault="00D52FF7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03E7">
                    <w:rPr>
                      <w:rFonts w:ascii="Arial" w:hAnsi="Arial" w:cs="Arial"/>
                      <w:sz w:val="20"/>
                      <w:szCs w:val="20"/>
                    </w:rPr>
                    <w:t>Term Evaluation</w:t>
                  </w:r>
                </w:p>
              </w:tc>
              <w:tc>
                <w:tcPr>
                  <w:tcW w:w="830" w:type="dxa"/>
                  <w:shd w:val="clear" w:color="auto" w:fill="auto"/>
                </w:tcPr>
                <w:p w:rsidR="00D52FF7" w:rsidRPr="007E03E7" w:rsidRDefault="00D52FF7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03E7">
                    <w:rPr>
                      <w:rFonts w:ascii="Arial" w:hAnsi="Arial" w:cs="Arial"/>
                      <w:sz w:val="20"/>
                      <w:szCs w:val="20"/>
                    </w:rPr>
                    <w:t>70%</w:t>
                  </w:r>
                </w:p>
              </w:tc>
            </w:tr>
            <w:tr w:rsidR="00D52FF7" w:rsidRPr="007E03E7" w:rsidTr="007E03E7">
              <w:tc>
                <w:tcPr>
                  <w:tcW w:w="3632" w:type="dxa"/>
                  <w:shd w:val="clear" w:color="auto" w:fill="auto"/>
                </w:tcPr>
                <w:p w:rsidR="00D52FF7" w:rsidRPr="007E03E7" w:rsidRDefault="00D52FF7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03E7">
                    <w:rPr>
                      <w:rFonts w:ascii="Arial" w:hAnsi="Arial" w:cs="Arial"/>
                      <w:sz w:val="20"/>
                      <w:szCs w:val="20"/>
                    </w:rPr>
                    <w:t>Final Evaluation</w:t>
                  </w:r>
                </w:p>
              </w:tc>
              <w:tc>
                <w:tcPr>
                  <w:tcW w:w="830" w:type="dxa"/>
                  <w:shd w:val="clear" w:color="auto" w:fill="auto"/>
                </w:tcPr>
                <w:p w:rsidR="00D52FF7" w:rsidRPr="007E03E7" w:rsidRDefault="00D52FF7" w:rsidP="00D52FF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03E7">
                    <w:rPr>
                      <w:rFonts w:ascii="Arial" w:hAnsi="Arial" w:cs="Arial"/>
                      <w:sz w:val="20"/>
                      <w:szCs w:val="20"/>
                    </w:rPr>
                    <w:t>30%</w:t>
                  </w:r>
                </w:p>
              </w:tc>
            </w:tr>
          </w:tbl>
          <w:p w:rsidR="00D52FF7" w:rsidRPr="007E03E7" w:rsidRDefault="00D52FF7" w:rsidP="007E03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52FF7" w:rsidRPr="007E03E7" w:rsidRDefault="00D52FF7" w:rsidP="007E0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 xml:space="preserve">The final Evaluation will be </w:t>
            </w:r>
            <w:r w:rsidR="00E92CFA">
              <w:rPr>
                <w:rFonts w:ascii="Arial" w:hAnsi="Arial" w:cs="Arial"/>
                <w:sz w:val="20"/>
                <w:szCs w:val="20"/>
              </w:rPr>
              <w:t>split into a midterm exam written at the end of the 3 Quadratic Functions units and a final exam on exponential and trigonometric functions written during the last week of the course.  The midterm and final exams will carry equal weighting of 15% of the final mark.</w:t>
            </w:r>
          </w:p>
          <w:p w:rsidR="00D52FF7" w:rsidRPr="007E03E7" w:rsidRDefault="00D52FF7" w:rsidP="007E03E7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:rsidR="00D52FF7" w:rsidRPr="007E03E7" w:rsidRDefault="00D52FF7" w:rsidP="007E0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In addition to students’ performance in the achievement categories, students will also be assessed on their performance in the following learning skills:</w:t>
            </w:r>
          </w:p>
          <w:p w:rsidR="00D52FF7" w:rsidRPr="007E03E7" w:rsidRDefault="00D52FF7" w:rsidP="007E03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Responsibility</w:t>
            </w:r>
          </w:p>
          <w:p w:rsidR="00D52FF7" w:rsidRPr="007E03E7" w:rsidRDefault="00D52FF7" w:rsidP="007E03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Organization</w:t>
            </w:r>
          </w:p>
          <w:p w:rsidR="00D52FF7" w:rsidRPr="007E03E7" w:rsidRDefault="00D52FF7" w:rsidP="007E03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Independent Work</w:t>
            </w:r>
          </w:p>
          <w:p w:rsidR="00D52FF7" w:rsidRPr="007E03E7" w:rsidRDefault="00D52FF7" w:rsidP="007E03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Collaboration</w:t>
            </w:r>
          </w:p>
          <w:p w:rsidR="00D52FF7" w:rsidRPr="007E03E7" w:rsidRDefault="00D52FF7" w:rsidP="007E03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Initiative</w:t>
            </w:r>
          </w:p>
          <w:p w:rsidR="00D52FF7" w:rsidRPr="007E03E7" w:rsidRDefault="00D52FF7" w:rsidP="007E03E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>Self-Regulation</w:t>
            </w:r>
          </w:p>
          <w:p w:rsidR="00D52FF7" w:rsidRPr="007E03E7" w:rsidRDefault="00D52FF7" w:rsidP="007E03E7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D52FF7" w:rsidRPr="007E03E7" w:rsidRDefault="00D52FF7" w:rsidP="007E03E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7E03E7">
              <w:rPr>
                <w:rFonts w:ascii="Arial" w:hAnsi="Arial" w:cs="Arial"/>
                <w:sz w:val="20"/>
                <w:szCs w:val="20"/>
              </w:rPr>
              <w:t xml:space="preserve">For specific policies on assessment and evaluation, and academic honesty, please </w:t>
            </w:r>
            <w:r w:rsidR="001904CF" w:rsidRPr="007E03E7">
              <w:rPr>
                <w:rFonts w:ascii="Arial" w:hAnsi="Arial" w:cs="Arial"/>
                <w:sz w:val="20"/>
                <w:szCs w:val="20"/>
              </w:rPr>
              <w:t>refer</w:t>
            </w:r>
            <w:r w:rsidR="00BC07A2" w:rsidRPr="007E03E7">
              <w:rPr>
                <w:rFonts w:ascii="Arial" w:hAnsi="Arial" w:cs="Arial"/>
                <w:sz w:val="20"/>
                <w:szCs w:val="20"/>
              </w:rPr>
              <w:t xml:space="preserve"> to</w:t>
            </w:r>
            <w:r w:rsidRPr="007E03E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03E7">
              <w:rPr>
                <w:rFonts w:ascii="Arial" w:hAnsi="Arial" w:cs="Arial"/>
                <w:i/>
                <w:sz w:val="20"/>
                <w:szCs w:val="20"/>
              </w:rPr>
              <w:t>School Procedure</w:t>
            </w:r>
            <w:r w:rsidRPr="007E03E7">
              <w:rPr>
                <w:rFonts w:ascii="Arial" w:hAnsi="Arial" w:cs="Arial"/>
                <w:sz w:val="20"/>
                <w:szCs w:val="20"/>
              </w:rPr>
              <w:t>s in the student agenda.</w:t>
            </w:r>
          </w:p>
        </w:tc>
      </w:tr>
    </w:tbl>
    <w:p w:rsidR="00D52FF7" w:rsidRDefault="00D52FF7"/>
    <w:sectPr w:rsidR="00D52FF7" w:rsidSect="00E92CFA">
      <w:headerReference w:type="default" r:id="rId8"/>
      <w:footerReference w:type="even" r:id="rId9"/>
      <w:pgSz w:w="12240" w:h="15840"/>
      <w:pgMar w:top="576" w:right="720" w:bottom="432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70" w:rsidRDefault="00262C70">
      <w:r>
        <w:separator/>
      </w:r>
    </w:p>
  </w:endnote>
  <w:endnote w:type="continuationSeparator" w:id="0">
    <w:p w:rsidR="00262C70" w:rsidRDefault="0026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abia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CFA" w:rsidRDefault="00E92CFA" w:rsidP="00736B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2CFA" w:rsidRDefault="00E92CFA" w:rsidP="007F549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70" w:rsidRDefault="00262C70">
      <w:r>
        <w:separator/>
      </w:r>
    </w:p>
  </w:footnote>
  <w:footnote w:type="continuationSeparator" w:id="0">
    <w:p w:rsidR="00262C70" w:rsidRDefault="0026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04"/>
      <w:gridCol w:w="8994"/>
    </w:tblGrid>
    <w:tr w:rsidR="00E92CFA" w:rsidRPr="007E03E7" w:rsidTr="007E03E7">
      <w:trPr>
        <w:jc w:val="center"/>
      </w:trPr>
      <w:tc>
        <w:tcPr>
          <w:tcW w:w="200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E92CFA" w:rsidRPr="007E03E7" w:rsidRDefault="000C5E49" w:rsidP="002D3854">
          <w:pPr>
            <w:rPr>
              <w:rFonts w:ascii="Arabia" w:hAnsi="Arabia"/>
              <w:b/>
              <w:sz w:val="56"/>
            </w:rPr>
          </w:pPr>
          <w:r>
            <w:rPr>
              <w:rFonts w:ascii="Arabia" w:hAnsi="Arabia"/>
              <w:b/>
              <w:noProof/>
              <w:sz w:val="56"/>
            </w:rPr>
            <w:drawing>
              <wp:inline distT="0" distB="0" distL="0" distR="0">
                <wp:extent cx="923925" cy="790575"/>
                <wp:effectExtent l="0" t="0" r="9525" b="9525"/>
                <wp:docPr id="1" name="Picture 1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9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E92CFA" w:rsidRPr="007E03E7" w:rsidRDefault="00E92CFA" w:rsidP="007E03E7">
          <w:pPr>
            <w:jc w:val="center"/>
            <w:rPr>
              <w:rFonts w:ascii="Arial" w:hAnsi="Arial" w:cs="Arial"/>
              <w:b/>
            </w:rPr>
          </w:pPr>
          <w:r w:rsidRPr="007E03E7">
            <w:rPr>
              <w:rFonts w:ascii="Arial" w:hAnsi="Arial" w:cs="Arial"/>
              <w:b/>
            </w:rPr>
            <w:t>MCF3M</w:t>
          </w:r>
        </w:p>
        <w:p w:rsidR="00E92CFA" w:rsidRPr="007E03E7" w:rsidRDefault="00E92CFA" w:rsidP="007E03E7">
          <w:pPr>
            <w:jc w:val="center"/>
            <w:rPr>
              <w:rFonts w:ascii="Arial" w:hAnsi="Arial" w:cs="Arial"/>
              <w:b/>
            </w:rPr>
          </w:pPr>
          <w:r w:rsidRPr="007E03E7">
            <w:rPr>
              <w:rFonts w:ascii="Arial" w:hAnsi="Arial" w:cs="Arial"/>
              <w:b/>
            </w:rPr>
            <w:t>Functions and Applications</w:t>
          </w:r>
        </w:p>
        <w:p w:rsidR="00E92CFA" w:rsidRPr="007E03E7" w:rsidRDefault="00E92CFA" w:rsidP="007E03E7">
          <w:pPr>
            <w:jc w:val="center"/>
            <w:rPr>
              <w:rFonts w:ascii="Arial" w:hAnsi="Arial" w:cs="Arial"/>
              <w:b/>
            </w:rPr>
          </w:pPr>
          <w:r w:rsidRPr="007E03E7">
            <w:rPr>
              <w:rFonts w:ascii="Arial" w:hAnsi="Arial" w:cs="Arial"/>
              <w:b/>
            </w:rPr>
            <w:t>Grade 11, University/College Preparation</w:t>
          </w:r>
        </w:p>
        <w:p w:rsidR="00E92CFA" w:rsidRPr="007E03E7" w:rsidRDefault="00E92CFA" w:rsidP="006520A4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</w:tr>
  </w:tbl>
  <w:p w:rsidR="00E92CFA" w:rsidRPr="00C5164E" w:rsidRDefault="00E92CFA" w:rsidP="00C5164E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AC1"/>
    <w:multiLevelType w:val="hybridMultilevel"/>
    <w:tmpl w:val="1B366590"/>
    <w:lvl w:ilvl="0" w:tplc="FF921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72"/>
      </w:rPr>
    </w:lvl>
    <w:lvl w:ilvl="1" w:tplc="1009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abstractNum w:abstractNumId="1">
    <w:nsid w:val="1ABE194F"/>
    <w:multiLevelType w:val="hybridMultilevel"/>
    <w:tmpl w:val="67D4A1F2"/>
    <w:lvl w:ilvl="0" w:tplc="FF9213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4"/>
        <w:szCs w:val="72"/>
      </w:rPr>
    </w:lvl>
    <w:lvl w:ilvl="1" w:tplc="10090003" w:tentative="1">
      <w:start w:val="1"/>
      <w:numFmt w:val="bullet"/>
      <w:lvlText w:val="o"/>
      <w:lvlJc w:val="left"/>
      <w:pPr>
        <w:tabs>
          <w:tab w:val="num" w:pos="1030"/>
        </w:tabs>
        <w:ind w:left="10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1750"/>
        </w:tabs>
        <w:ind w:left="17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470"/>
        </w:tabs>
        <w:ind w:left="24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190"/>
        </w:tabs>
        <w:ind w:left="31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3910"/>
        </w:tabs>
        <w:ind w:left="39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4630"/>
        </w:tabs>
        <w:ind w:left="46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350"/>
        </w:tabs>
        <w:ind w:left="53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070"/>
        </w:tabs>
        <w:ind w:left="60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E3"/>
    <w:rsid w:val="00026067"/>
    <w:rsid w:val="00040B5C"/>
    <w:rsid w:val="00045464"/>
    <w:rsid w:val="0007528E"/>
    <w:rsid w:val="000B3768"/>
    <w:rsid w:val="000C5E49"/>
    <w:rsid w:val="00154CB6"/>
    <w:rsid w:val="001904CF"/>
    <w:rsid w:val="001C2D51"/>
    <w:rsid w:val="00262C70"/>
    <w:rsid w:val="00262DE3"/>
    <w:rsid w:val="002B00C4"/>
    <w:rsid w:val="002D3854"/>
    <w:rsid w:val="002F1F87"/>
    <w:rsid w:val="002F54EA"/>
    <w:rsid w:val="003E2718"/>
    <w:rsid w:val="00407F1F"/>
    <w:rsid w:val="00503F05"/>
    <w:rsid w:val="0051155D"/>
    <w:rsid w:val="00543C95"/>
    <w:rsid w:val="00635127"/>
    <w:rsid w:val="006520A4"/>
    <w:rsid w:val="006D611A"/>
    <w:rsid w:val="00721CD2"/>
    <w:rsid w:val="00736B28"/>
    <w:rsid w:val="0078435F"/>
    <w:rsid w:val="007E03E7"/>
    <w:rsid w:val="007F5493"/>
    <w:rsid w:val="00817534"/>
    <w:rsid w:val="008338FD"/>
    <w:rsid w:val="00842183"/>
    <w:rsid w:val="008712DF"/>
    <w:rsid w:val="008815DE"/>
    <w:rsid w:val="008C0330"/>
    <w:rsid w:val="00A11CF1"/>
    <w:rsid w:val="00A65690"/>
    <w:rsid w:val="00AB4812"/>
    <w:rsid w:val="00AD08AB"/>
    <w:rsid w:val="00AE5719"/>
    <w:rsid w:val="00BC07A2"/>
    <w:rsid w:val="00BD7D4E"/>
    <w:rsid w:val="00C40D86"/>
    <w:rsid w:val="00C45CEB"/>
    <w:rsid w:val="00C5164E"/>
    <w:rsid w:val="00D52FF7"/>
    <w:rsid w:val="00DE03E0"/>
    <w:rsid w:val="00DE5EFC"/>
    <w:rsid w:val="00E25D69"/>
    <w:rsid w:val="00E379DB"/>
    <w:rsid w:val="00E448A8"/>
    <w:rsid w:val="00E92CFA"/>
    <w:rsid w:val="00F01E4B"/>
    <w:rsid w:val="00F27546"/>
    <w:rsid w:val="00F9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F5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5493"/>
  </w:style>
  <w:style w:type="paragraph" w:styleId="Header">
    <w:name w:val="header"/>
    <w:basedOn w:val="Normal"/>
    <w:rsid w:val="007F5493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52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2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F54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5493"/>
  </w:style>
  <w:style w:type="paragraph" w:styleId="Header">
    <w:name w:val="header"/>
    <w:basedOn w:val="Normal"/>
    <w:rsid w:val="007F5493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Toronto District School Board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Trotta, Grace</cp:lastModifiedBy>
  <cp:revision>2</cp:revision>
  <cp:lastPrinted>2014-02-04T18:09:00Z</cp:lastPrinted>
  <dcterms:created xsi:type="dcterms:W3CDTF">2018-07-09T16:26:00Z</dcterms:created>
  <dcterms:modified xsi:type="dcterms:W3CDTF">2018-07-09T16:26:00Z</dcterms:modified>
</cp:coreProperties>
</file>