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7350"/>
      </w:tblGrid>
      <w:tr w:rsidR="00C87BDF" w:rsidRPr="00BC46A8" w:rsidTr="00874323">
        <w:trPr>
          <w:trHeight w:val="225"/>
          <w:jc w:val="center"/>
        </w:trPr>
        <w:tc>
          <w:tcPr>
            <w:tcW w:w="10953" w:type="dxa"/>
            <w:gridSpan w:val="2"/>
            <w:shd w:val="clear" w:color="auto" w:fill="C0C0C0"/>
            <w:vAlign w:val="center"/>
          </w:tcPr>
          <w:p w:rsidR="00C87BDF" w:rsidRPr="00006FD8" w:rsidRDefault="00C87BDF" w:rsidP="00006FD8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06FD8">
              <w:rPr>
                <w:rFonts w:ascii="Arial" w:hAnsi="Arial" w:cs="Arial"/>
                <w:b/>
                <w:sz w:val="20"/>
                <w:szCs w:val="20"/>
              </w:rPr>
              <w:t xml:space="preserve">General Course Information </w:t>
            </w:r>
          </w:p>
        </w:tc>
      </w:tr>
      <w:tr w:rsidR="00C87BDF" w:rsidRPr="00BC46A8" w:rsidTr="00874323">
        <w:trPr>
          <w:trHeight w:val="225"/>
          <w:jc w:val="center"/>
        </w:trPr>
        <w:tc>
          <w:tcPr>
            <w:tcW w:w="3603" w:type="dxa"/>
            <w:tcBorders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Prerequisite:</w:t>
            </w:r>
          </w:p>
        </w:tc>
        <w:tc>
          <w:tcPr>
            <w:tcW w:w="7350" w:type="dxa"/>
            <w:tcBorders>
              <w:left w:val="nil"/>
              <w:bottom w:val="nil"/>
            </w:tcBorders>
          </w:tcPr>
          <w:p w:rsidR="00C87BDF" w:rsidRPr="00006FD8" w:rsidRDefault="00DA4F71" w:rsidP="003F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11 Math for Work and Everyday Life (</w:t>
            </w:r>
            <w:r w:rsidR="00985304">
              <w:rPr>
                <w:rFonts w:ascii="Arial" w:hAnsi="Arial" w:cs="Arial"/>
                <w:sz w:val="20"/>
                <w:szCs w:val="20"/>
              </w:rPr>
              <w:t>M</w:t>
            </w:r>
            <w:r w:rsidR="003F62BD">
              <w:rPr>
                <w:rFonts w:ascii="Arial" w:hAnsi="Arial" w:cs="Arial"/>
                <w:sz w:val="20"/>
                <w:szCs w:val="20"/>
              </w:rPr>
              <w:t>EL3E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7BDF" w:rsidRPr="00BC46A8" w:rsidTr="00874323">
        <w:trPr>
          <w:trHeight w:val="225"/>
          <w:jc w:val="center"/>
        </w:trPr>
        <w:tc>
          <w:tcPr>
            <w:tcW w:w="360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</w:tcBorders>
          </w:tcPr>
          <w:p w:rsidR="00C87BDF" w:rsidRPr="00006FD8" w:rsidRDefault="00E97DAA" w:rsidP="00945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(416-395-3140 Ext 20080)</w:t>
            </w:r>
          </w:p>
        </w:tc>
      </w:tr>
      <w:tr w:rsidR="00C87BDF" w:rsidRPr="00BC46A8" w:rsidTr="00874323">
        <w:trPr>
          <w:trHeight w:val="225"/>
          <w:jc w:val="center"/>
        </w:trPr>
        <w:tc>
          <w:tcPr>
            <w:tcW w:w="360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</w:tcBorders>
          </w:tcPr>
          <w:p w:rsidR="00C87BDF" w:rsidRPr="00006FD8" w:rsidRDefault="00C87BDF" w:rsidP="00E9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</w:tr>
      <w:tr w:rsidR="00C87BDF" w:rsidRPr="00BC46A8" w:rsidTr="00874323">
        <w:trPr>
          <w:trHeight w:val="240"/>
          <w:jc w:val="center"/>
        </w:trPr>
        <w:tc>
          <w:tcPr>
            <w:tcW w:w="360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</w:tcBorders>
          </w:tcPr>
          <w:p w:rsidR="00C87BDF" w:rsidRPr="00006FD8" w:rsidRDefault="00C87BDF" w:rsidP="00781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DF" w:rsidRPr="00BC46A8" w:rsidTr="00874323">
        <w:trPr>
          <w:trHeight w:val="225"/>
          <w:jc w:val="center"/>
        </w:trPr>
        <w:tc>
          <w:tcPr>
            <w:tcW w:w="360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Extra Help: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</w:tcBorders>
          </w:tcPr>
          <w:p w:rsidR="00C87BDF" w:rsidRPr="00006FD8" w:rsidRDefault="004E7A93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appointment: Before school, lunch and after school</w:t>
            </w:r>
          </w:p>
        </w:tc>
      </w:tr>
      <w:tr w:rsidR="00C87BDF" w:rsidRPr="00BC46A8" w:rsidTr="00874323">
        <w:trPr>
          <w:trHeight w:val="225"/>
          <w:jc w:val="center"/>
        </w:trPr>
        <w:tc>
          <w:tcPr>
            <w:tcW w:w="3603" w:type="dxa"/>
            <w:tcBorders>
              <w:top w:val="nil"/>
              <w:bottom w:val="nil"/>
              <w:right w:val="nil"/>
            </w:tcBorders>
          </w:tcPr>
          <w:p w:rsidR="00C87BDF" w:rsidRPr="00006FD8" w:rsidRDefault="00985304" w:rsidP="00985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="00C87BDF" w:rsidRPr="00006FD8">
              <w:rPr>
                <w:rFonts w:ascii="Arial" w:hAnsi="Arial" w:cs="Arial"/>
                <w:sz w:val="20"/>
                <w:szCs w:val="20"/>
              </w:rPr>
              <w:t>book and Replacement Cost: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</w:tcBorders>
          </w:tcPr>
          <w:p w:rsidR="00C87BDF" w:rsidRPr="00006FD8" w:rsidRDefault="00985304" w:rsidP="003F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  <w:r w:rsidR="003F62BD">
              <w:rPr>
                <w:rFonts w:ascii="Arial" w:hAnsi="Arial" w:cs="Arial"/>
                <w:sz w:val="20"/>
                <w:szCs w:val="20"/>
              </w:rPr>
              <w:t>ematics for Everyday Life</w:t>
            </w:r>
            <w:r w:rsidR="00726F9D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62BD">
              <w:rPr>
                <w:rFonts w:ascii="Arial" w:hAnsi="Arial" w:cs="Arial"/>
                <w:sz w:val="20"/>
                <w:szCs w:val="20"/>
              </w:rPr>
              <w:t>Irwin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D0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7BDF" w:rsidRPr="00BC46A8" w:rsidTr="00874323">
        <w:trPr>
          <w:trHeight w:val="240"/>
          <w:jc w:val="center"/>
        </w:trPr>
        <w:tc>
          <w:tcPr>
            <w:tcW w:w="360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Material Required: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Three-ring binder, writing utensils,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calculator</w:t>
            </w:r>
            <w:r w:rsidR="00940641">
              <w:rPr>
                <w:rFonts w:ascii="Arial" w:hAnsi="Arial" w:cs="Arial"/>
                <w:sz w:val="20"/>
                <w:szCs w:val="20"/>
              </w:rPr>
              <w:t>,</w:t>
            </w:r>
            <w:r w:rsidRPr="00006FD8">
              <w:rPr>
                <w:rFonts w:ascii="Arial" w:hAnsi="Arial" w:cs="Arial"/>
                <w:sz w:val="20"/>
                <w:szCs w:val="20"/>
              </w:rPr>
              <w:t xml:space="preserve"> student agenda</w:t>
            </w:r>
          </w:p>
        </w:tc>
      </w:tr>
      <w:tr w:rsidR="00C87BDF" w:rsidRPr="00BC46A8" w:rsidTr="00874323">
        <w:trPr>
          <w:trHeight w:val="225"/>
          <w:jc w:val="center"/>
        </w:trPr>
        <w:tc>
          <w:tcPr>
            <w:tcW w:w="360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Course Fee: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87BDF" w:rsidRPr="00C5164E" w:rsidTr="00874323">
        <w:trPr>
          <w:trHeight w:val="180"/>
          <w:jc w:val="center"/>
        </w:trPr>
        <w:tc>
          <w:tcPr>
            <w:tcW w:w="3603" w:type="dxa"/>
            <w:tcBorders>
              <w:top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0" w:type="dxa"/>
            <w:tcBorders>
              <w:top w:val="nil"/>
              <w:lef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BDF" w:rsidRPr="00BC46A8" w:rsidTr="00874323">
        <w:trPr>
          <w:trHeight w:val="225"/>
          <w:jc w:val="center"/>
        </w:trPr>
        <w:tc>
          <w:tcPr>
            <w:tcW w:w="10953" w:type="dxa"/>
            <w:gridSpan w:val="2"/>
            <w:shd w:val="clear" w:color="auto" w:fill="C0C0C0"/>
            <w:vAlign w:val="center"/>
          </w:tcPr>
          <w:p w:rsidR="00C87BDF" w:rsidRPr="00006FD8" w:rsidRDefault="00C87BDF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FD8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C87BDF" w:rsidRPr="00BC46A8" w:rsidTr="00874323">
        <w:trPr>
          <w:trHeight w:val="3082"/>
          <w:jc w:val="center"/>
        </w:trPr>
        <w:tc>
          <w:tcPr>
            <w:tcW w:w="10953" w:type="dxa"/>
            <w:gridSpan w:val="2"/>
            <w:tcBorders>
              <w:bottom w:val="nil"/>
            </w:tcBorders>
          </w:tcPr>
          <w:p w:rsidR="00726F9D" w:rsidRDefault="007D3D9D" w:rsidP="007D3D9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26F9D">
              <w:rPr>
                <w:rFonts w:ascii="Arial" w:hAnsi="Arial" w:cs="Arial"/>
                <w:bCs/>
                <w:sz w:val="20"/>
                <w:szCs w:val="20"/>
              </w:rPr>
              <w:t>This course enables students to broaden their understanding of mathematics as it is applied in the workplace and daily life. Students will investigate questions involving the use of statistics; apply the concept of probability to solve problems involving familiar situations; investigate accommodation costs, create household budgets, and prepare a personal income tax return; use proportional reasoning; estimate and measure; and apply geometric concepts to create designs. Students will consolidate their mathematical skills as they solve problems and communicate their thinking.</w:t>
            </w:r>
          </w:p>
          <w:p w:rsidR="001C39EA" w:rsidRPr="00726F9D" w:rsidRDefault="001C39EA" w:rsidP="007D3D9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7BDF" w:rsidRPr="00726F9D" w:rsidRDefault="00C87BDF" w:rsidP="00006FD8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F9D">
              <w:rPr>
                <w:rFonts w:ascii="Arial" w:hAnsi="Arial" w:cs="Arial"/>
                <w:sz w:val="20"/>
                <w:szCs w:val="20"/>
              </w:rPr>
              <w:t xml:space="preserve">The course is organized into </w:t>
            </w:r>
            <w:r w:rsidR="001C39EA">
              <w:rPr>
                <w:rFonts w:ascii="Arial" w:hAnsi="Arial" w:cs="Arial"/>
                <w:sz w:val="20"/>
                <w:szCs w:val="20"/>
              </w:rPr>
              <w:t>3</w:t>
            </w:r>
            <w:r w:rsidRPr="00726F9D">
              <w:rPr>
                <w:rFonts w:ascii="Arial" w:hAnsi="Arial" w:cs="Arial"/>
                <w:sz w:val="20"/>
                <w:szCs w:val="20"/>
              </w:rPr>
              <w:t xml:space="preserve"> strands:</w:t>
            </w:r>
          </w:p>
          <w:p w:rsidR="00C87BDF" w:rsidRPr="00726F9D" w:rsidRDefault="003F62BD" w:rsidP="00006FD8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F9D">
              <w:rPr>
                <w:rFonts w:ascii="Arial" w:hAnsi="Arial" w:cs="Arial"/>
                <w:b/>
                <w:sz w:val="20"/>
                <w:szCs w:val="20"/>
              </w:rPr>
              <w:t>Reasoning with Data</w:t>
            </w:r>
          </w:p>
          <w:p w:rsidR="00C87BDF" w:rsidRPr="00726F9D" w:rsidRDefault="003F62BD" w:rsidP="00006FD8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F9D">
              <w:rPr>
                <w:rFonts w:ascii="Arial" w:hAnsi="Arial" w:cs="Arial"/>
                <w:b/>
                <w:sz w:val="20"/>
                <w:szCs w:val="20"/>
              </w:rPr>
              <w:t>Personal Finance</w:t>
            </w:r>
          </w:p>
          <w:p w:rsidR="00C87BDF" w:rsidRPr="00726F9D" w:rsidRDefault="003F62BD" w:rsidP="00006FD8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F9D">
              <w:rPr>
                <w:rFonts w:ascii="Arial" w:hAnsi="Arial" w:cs="Arial"/>
                <w:b/>
                <w:sz w:val="20"/>
                <w:szCs w:val="20"/>
              </w:rPr>
              <w:t>Applications of Measurements</w:t>
            </w:r>
          </w:p>
          <w:p w:rsidR="00726F9D" w:rsidRPr="00726F9D" w:rsidRDefault="00726F9D" w:rsidP="00726F9D">
            <w:pPr>
              <w:tabs>
                <w:tab w:val="left" w:pos="198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87BDF" w:rsidRPr="00006FD8" w:rsidRDefault="00726F9D" w:rsidP="00726F9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A detailed list of the course expectations can be found at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E03E7">
              <w:rPr>
                <w:rFonts w:ascii="Arial" w:hAnsi="Arial" w:cs="Arial"/>
                <w:sz w:val="20"/>
                <w:szCs w:val="20"/>
              </w:rPr>
              <w:t>ttp://www.edu.gov.on.ca/eng/curriculum/secondary/math1112currb.pdf</w:t>
            </w:r>
          </w:p>
        </w:tc>
      </w:tr>
      <w:tr w:rsidR="00C87BDF" w:rsidRPr="00C5164E" w:rsidTr="00874323">
        <w:trPr>
          <w:trHeight w:val="79"/>
          <w:jc w:val="center"/>
        </w:trPr>
        <w:tc>
          <w:tcPr>
            <w:tcW w:w="10953" w:type="dxa"/>
            <w:gridSpan w:val="2"/>
            <w:tcBorders>
              <w:top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7BDF" w:rsidRPr="00BC46A8" w:rsidTr="00874323">
        <w:trPr>
          <w:trHeight w:val="225"/>
          <w:jc w:val="center"/>
        </w:trPr>
        <w:tc>
          <w:tcPr>
            <w:tcW w:w="10953" w:type="dxa"/>
            <w:gridSpan w:val="2"/>
            <w:shd w:val="clear" w:color="auto" w:fill="C0C0C0"/>
            <w:vAlign w:val="center"/>
          </w:tcPr>
          <w:p w:rsidR="00C87BDF" w:rsidRPr="00006FD8" w:rsidRDefault="00C87BDF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006FD8">
              <w:rPr>
                <w:rFonts w:ascii="Arial" w:hAnsi="Arial" w:cs="Arial"/>
                <w:b/>
                <w:sz w:val="20"/>
                <w:szCs w:val="20"/>
              </w:rPr>
              <w:t>Assessment and Evaluation</w:t>
            </w:r>
          </w:p>
        </w:tc>
      </w:tr>
      <w:tr w:rsidR="00C87BDF" w:rsidRPr="00BC46A8" w:rsidTr="00874323">
        <w:trPr>
          <w:trHeight w:val="6945"/>
          <w:jc w:val="center"/>
        </w:trPr>
        <w:tc>
          <w:tcPr>
            <w:tcW w:w="10953" w:type="dxa"/>
            <w:gridSpan w:val="2"/>
          </w:tcPr>
          <w:p w:rsidR="00726F9D" w:rsidRPr="007E03E7" w:rsidRDefault="00726F9D" w:rsidP="00726F9D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To promote student success, ongoing assessment and feedback will be given regularly to the students.  A variety of assessment and evaluation strategies will be used in this course, including tests, quizzes,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54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ssignments</w:t>
            </w:r>
            <w:r w:rsidR="00615546">
              <w:rPr>
                <w:rFonts w:ascii="Arial" w:hAnsi="Arial" w:cs="Arial"/>
                <w:sz w:val="20"/>
                <w:szCs w:val="20"/>
              </w:rPr>
              <w:t>, and projects</w:t>
            </w:r>
            <w:r w:rsidRPr="007E03E7">
              <w:rPr>
                <w:rFonts w:ascii="Arial" w:hAnsi="Arial" w:cs="Arial"/>
                <w:sz w:val="20"/>
                <w:szCs w:val="20"/>
              </w:rPr>
              <w:t>.  Expectations will be evaluated based on the provincial curriculum expectations and the achievement levels outlined in the ministry document.</w:t>
            </w:r>
          </w:p>
          <w:p w:rsidR="00726F9D" w:rsidRPr="007E03E7" w:rsidRDefault="00726F9D" w:rsidP="00726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F9D" w:rsidRPr="007E03E7" w:rsidRDefault="00726F9D" w:rsidP="00726F9D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Expectations are organized into four categories of knowledge and skills.  The categories and their corresponding weighting is as follows:</w:t>
            </w:r>
          </w:p>
          <w:tbl>
            <w:tblPr>
              <w:tblW w:w="0" w:type="auto"/>
              <w:tblInd w:w="614" w:type="dxa"/>
              <w:tblLook w:val="01E0" w:firstRow="1" w:lastRow="1" w:firstColumn="1" w:lastColumn="1" w:noHBand="0" w:noVBand="0"/>
            </w:tblPr>
            <w:tblGrid>
              <w:gridCol w:w="3642"/>
              <w:gridCol w:w="4670"/>
            </w:tblGrid>
            <w:tr w:rsidR="00726F9D" w:rsidRPr="007E03E7" w:rsidTr="00874323">
              <w:trPr>
                <w:trHeight w:val="238"/>
              </w:trPr>
              <w:tc>
                <w:tcPr>
                  <w:tcW w:w="364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Knowledge and Understanding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726F9D" w:rsidRPr="007E03E7" w:rsidRDefault="009422EC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20 - </w:t>
                  </w:r>
                  <w:r w:rsidR="00726F9D" w:rsidRPr="007E03E7"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</w:tr>
            <w:tr w:rsidR="00726F9D" w:rsidRPr="007E03E7" w:rsidTr="00874323">
              <w:trPr>
                <w:trHeight w:val="223"/>
              </w:trPr>
              <w:tc>
                <w:tcPr>
                  <w:tcW w:w="364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Thinking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9422EC">
                    <w:rPr>
                      <w:rFonts w:ascii="Arial" w:hAnsi="Arial" w:cs="Arial"/>
                      <w:sz w:val="20"/>
                      <w:szCs w:val="20"/>
                    </w:rPr>
                    <w:t xml:space="preserve"> - 25</w:t>
                  </w: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26F9D" w:rsidRPr="007E03E7" w:rsidTr="00874323">
              <w:trPr>
                <w:trHeight w:val="223"/>
              </w:trPr>
              <w:tc>
                <w:tcPr>
                  <w:tcW w:w="364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260C4B">
                    <w:rPr>
                      <w:rFonts w:ascii="Arial" w:hAnsi="Arial" w:cs="Arial"/>
                      <w:sz w:val="20"/>
                      <w:szCs w:val="20"/>
                    </w:rPr>
                    <w:t xml:space="preserve"> - 30</w:t>
                  </w: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26F9D" w:rsidRPr="007E03E7" w:rsidTr="00874323">
              <w:trPr>
                <w:trHeight w:val="238"/>
              </w:trPr>
              <w:tc>
                <w:tcPr>
                  <w:tcW w:w="364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726F9D" w:rsidRPr="007E03E7" w:rsidRDefault="009422EC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26F9D" w:rsidRPr="007E03E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- 25</w:t>
                  </w:r>
                  <w:r w:rsidR="00726F9D"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26F9D" w:rsidRPr="007E03E7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26F9D" w:rsidRPr="007E03E7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Each student’s final mark will be in the form of a percentage grade based on their achievement in the 4 categories on the achievement chart.  The breakdown of the final mark is as follow</w:t>
            </w:r>
            <w:r w:rsidR="00615546">
              <w:rPr>
                <w:rFonts w:ascii="Arial" w:hAnsi="Arial" w:cs="Arial"/>
                <w:sz w:val="20"/>
                <w:szCs w:val="20"/>
              </w:rPr>
              <w:t>s</w:t>
            </w:r>
            <w:r w:rsidRPr="007E03E7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Ind w:w="614" w:type="dxa"/>
              <w:tblLook w:val="01E0" w:firstRow="1" w:lastRow="1" w:firstColumn="1" w:lastColumn="1" w:noHBand="0" w:noVBand="0"/>
            </w:tblPr>
            <w:tblGrid>
              <w:gridCol w:w="3642"/>
              <w:gridCol w:w="832"/>
            </w:tblGrid>
            <w:tr w:rsidR="00726F9D" w:rsidRPr="007E03E7" w:rsidTr="00874323">
              <w:trPr>
                <w:trHeight w:val="223"/>
              </w:trPr>
              <w:tc>
                <w:tcPr>
                  <w:tcW w:w="364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Term Evaluation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70%</w:t>
                  </w:r>
                </w:p>
              </w:tc>
            </w:tr>
            <w:tr w:rsidR="00726F9D" w:rsidRPr="007E03E7" w:rsidTr="00874323">
              <w:trPr>
                <w:trHeight w:val="223"/>
              </w:trPr>
              <w:tc>
                <w:tcPr>
                  <w:tcW w:w="364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Final Evaluation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30%</w:t>
                  </w:r>
                </w:p>
              </w:tc>
            </w:tr>
          </w:tbl>
          <w:p w:rsidR="00726F9D" w:rsidRPr="007E03E7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26F9D" w:rsidRPr="007E03E7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 addition to students’ performance in the achievement categories, students will also be assessed on their performance in the following learning skills: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Responsibility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Independent Work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Self-Regulation</w:t>
            </w:r>
          </w:p>
          <w:p w:rsidR="00726F9D" w:rsidRPr="007E03E7" w:rsidRDefault="00726F9D" w:rsidP="00726F9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87BDF" w:rsidRPr="00006FD8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For specific policies on assessment and evaluation, and academic honesty, please refer to </w:t>
            </w:r>
            <w:r w:rsidRPr="007E03E7">
              <w:rPr>
                <w:rFonts w:ascii="Arial" w:hAnsi="Arial" w:cs="Arial"/>
                <w:i/>
                <w:sz w:val="20"/>
                <w:szCs w:val="20"/>
              </w:rPr>
              <w:t>School Procedure</w:t>
            </w:r>
            <w:r w:rsidRPr="007E03E7">
              <w:rPr>
                <w:rFonts w:ascii="Arial" w:hAnsi="Arial" w:cs="Arial"/>
                <w:sz w:val="20"/>
                <w:szCs w:val="20"/>
              </w:rPr>
              <w:t xml:space="preserve">s in the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7E03E7">
              <w:rPr>
                <w:rFonts w:ascii="Arial" w:hAnsi="Arial" w:cs="Arial"/>
                <w:sz w:val="20"/>
                <w:szCs w:val="20"/>
              </w:rPr>
              <w:t>udent agenda.</w:t>
            </w:r>
          </w:p>
        </w:tc>
      </w:tr>
    </w:tbl>
    <w:p w:rsidR="00C87BDF" w:rsidRDefault="00C87BDF"/>
    <w:sectPr w:rsidR="00C87BDF" w:rsidSect="00495674">
      <w:headerReference w:type="default" r:id="rId8"/>
      <w:footerReference w:type="even" r:id="rId9"/>
      <w:pgSz w:w="12240" w:h="15840"/>
      <w:pgMar w:top="360" w:right="720" w:bottom="360" w:left="720" w:header="34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DF" w:rsidRDefault="00C87BDF">
      <w:r>
        <w:separator/>
      </w:r>
    </w:p>
  </w:endnote>
  <w:endnote w:type="continuationSeparator" w:id="0">
    <w:p w:rsidR="00C87BDF" w:rsidRDefault="00C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DF" w:rsidRDefault="00C87BDF" w:rsidP="00736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BDF" w:rsidRDefault="00C87BDF" w:rsidP="007F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DF" w:rsidRDefault="00C87BDF">
      <w:r>
        <w:separator/>
      </w:r>
    </w:p>
  </w:footnote>
  <w:footnote w:type="continuationSeparator" w:id="0">
    <w:p w:rsidR="00C87BDF" w:rsidRDefault="00C8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4"/>
      <w:gridCol w:w="8994"/>
    </w:tblGrid>
    <w:tr w:rsidR="00C87BDF" w:rsidRPr="002129F0" w:rsidTr="00006FD8">
      <w:trPr>
        <w:jc w:val="center"/>
      </w:trPr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C87BDF" w:rsidRPr="00006FD8" w:rsidRDefault="001D7D62" w:rsidP="002D3854">
          <w:pPr>
            <w:rPr>
              <w:rFonts w:ascii="Arabia" w:hAnsi="Arabia"/>
              <w:b/>
              <w:sz w:val="56"/>
            </w:rPr>
          </w:pPr>
          <w:r>
            <w:rPr>
              <w:rFonts w:ascii="Arabia" w:hAnsi="Arabia"/>
              <w:b/>
              <w:noProof/>
              <w:sz w:val="56"/>
            </w:rPr>
            <w:drawing>
              <wp:inline distT="0" distB="0" distL="0" distR="0" wp14:anchorId="6C3C32AA" wp14:editId="5C708AB5">
                <wp:extent cx="9144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7BDF" w:rsidRDefault="00FB6427" w:rsidP="00FB642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Grade 12 - </w:t>
          </w:r>
          <w:r w:rsidR="00C87BDF">
            <w:rPr>
              <w:rFonts w:ascii="Arial" w:hAnsi="Arial" w:cs="Arial"/>
              <w:b/>
            </w:rPr>
            <w:t>M</w:t>
          </w:r>
          <w:r w:rsidR="003F62BD">
            <w:rPr>
              <w:rFonts w:ascii="Arial" w:hAnsi="Arial" w:cs="Arial"/>
              <w:b/>
            </w:rPr>
            <w:t>EL</w:t>
          </w:r>
          <w:r w:rsidR="007D3D9D">
            <w:rPr>
              <w:rFonts w:ascii="Arial" w:hAnsi="Arial" w:cs="Arial"/>
              <w:b/>
            </w:rPr>
            <w:t>4E</w:t>
          </w:r>
        </w:p>
        <w:p w:rsidR="00C87BDF" w:rsidRPr="00006FD8" w:rsidRDefault="00C87BDF" w:rsidP="00006FD8">
          <w:pPr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 xml:space="preserve">Mathematics for </w:t>
          </w:r>
          <w:r w:rsidR="007D3D9D">
            <w:rPr>
              <w:rFonts w:ascii="Arial" w:hAnsi="Arial" w:cs="Arial"/>
              <w:b/>
              <w:lang w:val="en-US"/>
            </w:rPr>
            <w:t xml:space="preserve">Work and </w:t>
          </w:r>
          <w:r>
            <w:rPr>
              <w:rFonts w:ascii="Arial" w:hAnsi="Arial" w:cs="Arial"/>
              <w:b/>
              <w:lang w:val="en-US"/>
            </w:rPr>
            <w:t>Everyday Life</w:t>
          </w:r>
          <w:r w:rsidRPr="00006FD8">
            <w:rPr>
              <w:rFonts w:ascii="Arial" w:hAnsi="Arial" w:cs="Arial"/>
              <w:b/>
            </w:rPr>
            <w:t xml:space="preserve"> </w:t>
          </w:r>
        </w:p>
        <w:p w:rsidR="00C87BDF" w:rsidRPr="00006FD8" w:rsidRDefault="00C87BDF" w:rsidP="00C24A8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C87BDF" w:rsidRPr="00C5164E" w:rsidRDefault="00C87BDF" w:rsidP="00C516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C4"/>
    <w:multiLevelType w:val="hybridMultilevel"/>
    <w:tmpl w:val="B4C47736"/>
    <w:lvl w:ilvl="0" w:tplc="FFFFFFFF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087AC1"/>
    <w:multiLevelType w:val="hybridMultilevel"/>
    <w:tmpl w:val="05223BD4"/>
    <w:lvl w:ilvl="0" w:tplc="B866A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2">
    <w:nsid w:val="03366668"/>
    <w:multiLevelType w:val="hybridMultilevel"/>
    <w:tmpl w:val="D7B020C6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4166"/>
    <w:multiLevelType w:val="hybridMultilevel"/>
    <w:tmpl w:val="3092DEA4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2330D"/>
    <w:multiLevelType w:val="hybridMultilevel"/>
    <w:tmpl w:val="BFE447C2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E194F"/>
    <w:multiLevelType w:val="hybridMultilevel"/>
    <w:tmpl w:val="13E450BC"/>
    <w:lvl w:ilvl="0" w:tplc="A96AB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6">
    <w:nsid w:val="3B4053CF"/>
    <w:multiLevelType w:val="hybridMultilevel"/>
    <w:tmpl w:val="E1F28CA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44276"/>
    <w:multiLevelType w:val="hybridMultilevel"/>
    <w:tmpl w:val="F526647C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976B6"/>
    <w:multiLevelType w:val="hybridMultilevel"/>
    <w:tmpl w:val="2B5CB570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C357A"/>
    <w:multiLevelType w:val="hybridMultilevel"/>
    <w:tmpl w:val="9A6CBEEC"/>
    <w:lvl w:ilvl="0" w:tplc="FFFFFFFF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>
    <w:nsid w:val="75A81236"/>
    <w:multiLevelType w:val="hybridMultilevel"/>
    <w:tmpl w:val="65D2A6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391672"/>
    <w:multiLevelType w:val="hybridMultilevel"/>
    <w:tmpl w:val="3FB09C64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1495B"/>
    <w:multiLevelType w:val="hybridMultilevel"/>
    <w:tmpl w:val="51D4C682"/>
    <w:lvl w:ilvl="0" w:tplc="FFFFFFFF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28C8EB6A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A"/>
    <w:rsid w:val="00000D0D"/>
    <w:rsid w:val="00006FD8"/>
    <w:rsid w:val="00020142"/>
    <w:rsid w:val="00032C5C"/>
    <w:rsid w:val="00057CAD"/>
    <w:rsid w:val="00094D96"/>
    <w:rsid w:val="001330F9"/>
    <w:rsid w:val="00150A37"/>
    <w:rsid w:val="001747E7"/>
    <w:rsid w:val="001904CF"/>
    <w:rsid w:val="00191B9D"/>
    <w:rsid w:val="001C39EA"/>
    <w:rsid w:val="001D7D62"/>
    <w:rsid w:val="001F3F1A"/>
    <w:rsid w:val="002129F0"/>
    <w:rsid w:val="00215008"/>
    <w:rsid w:val="0025714C"/>
    <w:rsid w:val="00260C4B"/>
    <w:rsid w:val="002A1F4F"/>
    <w:rsid w:val="002D3854"/>
    <w:rsid w:val="002F1F87"/>
    <w:rsid w:val="003476CA"/>
    <w:rsid w:val="003C2707"/>
    <w:rsid w:val="003F62BD"/>
    <w:rsid w:val="00431EB0"/>
    <w:rsid w:val="00436EF6"/>
    <w:rsid w:val="0049534C"/>
    <w:rsid w:val="00495674"/>
    <w:rsid w:val="004E7A93"/>
    <w:rsid w:val="00523E16"/>
    <w:rsid w:val="00527213"/>
    <w:rsid w:val="00543C95"/>
    <w:rsid w:val="00551A8A"/>
    <w:rsid w:val="00554749"/>
    <w:rsid w:val="005D74B8"/>
    <w:rsid w:val="00615546"/>
    <w:rsid w:val="00644AF2"/>
    <w:rsid w:val="006D65F1"/>
    <w:rsid w:val="006F341C"/>
    <w:rsid w:val="007122F3"/>
    <w:rsid w:val="00721CD2"/>
    <w:rsid w:val="00726F9D"/>
    <w:rsid w:val="00736B28"/>
    <w:rsid w:val="0078080C"/>
    <w:rsid w:val="00781267"/>
    <w:rsid w:val="00781866"/>
    <w:rsid w:val="00793393"/>
    <w:rsid w:val="007B11C0"/>
    <w:rsid w:val="007D3D9D"/>
    <w:rsid w:val="007F5493"/>
    <w:rsid w:val="00825C23"/>
    <w:rsid w:val="0083186E"/>
    <w:rsid w:val="00874323"/>
    <w:rsid w:val="008A375C"/>
    <w:rsid w:val="008A6F6B"/>
    <w:rsid w:val="008B2097"/>
    <w:rsid w:val="008D0AF9"/>
    <w:rsid w:val="008F4D8B"/>
    <w:rsid w:val="008F7B7D"/>
    <w:rsid w:val="00940641"/>
    <w:rsid w:val="009422EC"/>
    <w:rsid w:val="00945898"/>
    <w:rsid w:val="00985304"/>
    <w:rsid w:val="00A0751D"/>
    <w:rsid w:val="00AB4812"/>
    <w:rsid w:val="00B32029"/>
    <w:rsid w:val="00BC07A2"/>
    <w:rsid w:val="00BC46A8"/>
    <w:rsid w:val="00C24A85"/>
    <w:rsid w:val="00C40D86"/>
    <w:rsid w:val="00C45CEB"/>
    <w:rsid w:val="00C47E26"/>
    <w:rsid w:val="00C5164E"/>
    <w:rsid w:val="00C747A7"/>
    <w:rsid w:val="00C87BDF"/>
    <w:rsid w:val="00D04CBA"/>
    <w:rsid w:val="00D312A9"/>
    <w:rsid w:val="00D31D19"/>
    <w:rsid w:val="00D46043"/>
    <w:rsid w:val="00D52FF7"/>
    <w:rsid w:val="00D6585B"/>
    <w:rsid w:val="00DA4F71"/>
    <w:rsid w:val="00DB0F52"/>
    <w:rsid w:val="00DB4F81"/>
    <w:rsid w:val="00DF7DEA"/>
    <w:rsid w:val="00E00E51"/>
    <w:rsid w:val="00E97DAA"/>
    <w:rsid w:val="00F32FC8"/>
    <w:rsid w:val="00F8377B"/>
    <w:rsid w:val="00FB6427"/>
    <w:rsid w:val="00FC2132"/>
    <w:rsid w:val="00FF115B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F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5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E16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7F54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E16"/>
    <w:rPr>
      <w:rFonts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rsid w:val="008F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3E16"/>
    <w:rPr>
      <w:rFonts w:ascii="Courier New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rsid w:val="00F32F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32FC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23E16"/>
    <w:rPr>
      <w:rFonts w:ascii="Courier New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04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F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5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E16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7F54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E16"/>
    <w:rPr>
      <w:rFonts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rsid w:val="008F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3E16"/>
    <w:rPr>
      <w:rFonts w:ascii="Courier New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rsid w:val="00F32F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32FC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23E16"/>
    <w:rPr>
      <w:rFonts w:ascii="Courier New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04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4853\Local%20Settings\Temporary%20Internet%20Files\Content.MSO\A396A3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A396A3FE.dot</Template>
  <TotalTime>0</TotalTime>
  <Pages>1</Pages>
  <Words>341</Words>
  <Characters>2154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Course Information</vt:lpstr>
    </vt:vector>
  </TitlesOfParts>
  <Company>Toronto District School Board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Course Information</dc:title>
  <dc:creator>User</dc:creator>
  <cp:lastModifiedBy>Trotta, Grace</cp:lastModifiedBy>
  <cp:revision>2</cp:revision>
  <cp:lastPrinted>2016-09-06T15:58:00Z</cp:lastPrinted>
  <dcterms:created xsi:type="dcterms:W3CDTF">2018-07-09T16:34:00Z</dcterms:created>
  <dcterms:modified xsi:type="dcterms:W3CDTF">2018-07-09T16:34:00Z</dcterms:modified>
</cp:coreProperties>
</file>