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D52FF7" w:rsidRPr="00811003" w:rsidTr="00811003">
        <w:trPr>
          <w:jc w:val="center"/>
        </w:trPr>
        <w:tc>
          <w:tcPr>
            <w:tcW w:w="10998" w:type="dxa"/>
            <w:gridSpan w:val="2"/>
            <w:tcBorders>
              <w:bottom w:val="single" w:sz="4" w:space="0" w:color="auto"/>
            </w:tcBorders>
            <w:shd w:val="clear" w:color="auto" w:fill="C0C0C0"/>
            <w:vAlign w:val="center"/>
          </w:tcPr>
          <w:p w:rsidR="00D52FF7" w:rsidRPr="00811003" w:rsidRDefault="00D52FF7" w:rsidP="00811003">
            <w:pPr>
              <w:tabs>
                <w:tab w:val="left" w:pos="1995"/>
              </w:tabs>
              <w:rPr>
                <w:rFonts w:ascii="Arial" w:hAnsi="Arial" w:cs="Arial"/>
                <w:b/>
                <w:sz w:val="20"/>
                <w:szCs w:val="20"/>
              </w:rPr>
            </w:pPr>
            <w:bookmarkStart w:id="0" w:name="_GoBack"/>
            <w:bookmarkEnd w:id="0"/>
            <w:r w:rsidRPr="00811003">
              <w:rPr>
                <w:rFonts w:ascii="Arial" w:hAnsi="Arial" w:cs="Arial"/>
                <w:b/>
                <w:sz w:val="20"/>
                <w:szCs w:val="20"/>
              </w:rPr>
              <w:t xml:space="preserve">General Course Information </w:t>
            </w:r>
          </w:p>
        </w:tc>
      </w:tr>
      <w:tr w:rsidR="00D52FF7" w:rsidRPr="00811003" w:rsidTr="00811003">
        <w:trPr>
          <w:jc w:val="center"/>
        </w:trPr>
        <w:tc>
          <w:tcPr>
            <w:tcW w:w="3618" w:type="dxa"/>
            <w:tcBorders>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Prerequisite:</w:t>
            </w:r>
          </w:p>
        </w:tc>
        <w:tc>
          <w:tcPr>
            <w:tcW w:w="7380" w:type="dxa"/>
            <w:tcBorders>
              <w:left w:val="nil"/>
              <w:bottom w:val="nil"/>
            </w:tcBorders>
            <w:shd w:val="clear" w:color="auto" w:fill="auto"/>
          </w:tcPr>
          <w:p w:rsidR="00D52FF7" w:rsidRPr="00811003" w:rsidRDefault="00F610B3" w:rsidP="00D52FF7">
            <w:pPr>
              <w:rPr>
                <w:rFonts w:ascii="Arial" w:hAnsi="Arial" w:cs="Arial"/>
                <w:sz w:val="20"/>
                <w:szCs w:val="20"/>
              </w:rPr>
            </w:pPr>
            <w:r>
              <w:rPr>
                <w:rFonts w:ascii="Arial" w:hAnsi="Arial" w:cs="Arial"/>
                <w:sz w:val="20"/>
                <w:szCs w:val="20"/>
              </w:rPr>
              <w:t>Grade 11 Functions (</w:t>
            </w:r>
            <w:r w:rsidR="00813A04" w:rsidRPr="00811003">
              <w:rPr>
                <w:rFonts w:ascii="Arial" w:hAnsi="Arial" w:cs="Arial"/>
                <w:sz w:val="20"/>
                <w:szCs w:val="20"/>
              </w:rPr>
              <w:t>MCR3U</w:t>
            </w:r>
            <w:r>
              <w:rPr>
                <w:rFonts w:ascii="Arial" w:hAnsi="Arial" w:cs="Arial"/>
                <w:sz w:val="20"/>
                <w:szCs w:val="20"/>
              </w:rPr>
              <w:t>) or Grade 12 Math for College Tech (MCT4C)</w:t>
            </w: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Teacher:</w:t>
            </w:r>
          </w:p>
        </w:tc>
        <w:tc>
          <w:tcPr>
            <w:tcW w:w="7380" w:type="dxa"/>
            <w:tcBorders>
              <w:top w:val="nil"/>
              <w:left w:val="nil"/>
              <w:bottom w:val="nil"/>
            </w:tcBorders>
            <w:shd w:val="clear" w:color="auto" w:fill="auto"/>
          </w:tcPr>
          <w:p w:rsidR="00D52FF7" w:rsidRPr="00811003" w:rsidRDefault="00D52FF7" w:rsidP="00EE43BC">
            <w:pPr>
              <w:rPr>
                <w:rFonts w:ascii="Arial" w:hAnsi="Arial" w:cs="Arial"/>
                <w:sz w:val="20"/>
                <w:szCs w:val="20"/>
              </w:rPr>
            </w:pPr>
            <w:r w:rsidRPr="00811003">
              <w:rPr>
                <w:rFonts w:ascii="Arial" w:hAnsi="Arial" w:cs="Arial"/>
                <w:sz w:val="20"/>
                <w:szCs w:val="20"/>
              </w:rPr>
              <w:t>(</w:t>
            </w:r>
            <w:r w:rsidR="000532F9">
              <w:rPr>
                <w:rFonts w:ascii="Arial" w:hAnsi="Arial" w:cs="Arial"/>
                <w:sz w:val="20"/>
                <w:szCs w:val="20"/>
              </w:rPr>
              <w:t xml:space="preserve">416-395-3140 </w:t>
            </w:r>
            <w:r w:rsidR="002C0B4F" w:rsidRPr="00811003">
              <w:rPr>
                <w:rFonts w:ascii="Arial" w:hAnsi="Arial" w:cs="Arial"/>
                <w:sz w:val="20"/>
                <w:szCs w:val="20"/>
              </w:rPr>
              <w:t>Ext</w:t>
            </w:r>
            <w:r w:rsidRPr="00811003">
              <w:rPr>
                <w:rFonts w:ascii="Arial" w:hAnsi="Arial" w:cs="Arial"/>
                <w:sz w:val="20"/>
                <w:szCs w:val="20"/>
              </w:rPr>
              <w:t xml:space="preserve"> </w:t>
            </w:r>
            <w:r w:rsidR="00813A04" w:rsidRPr="00811003">
              <w:rPr>
                <w:rFonts w:ascii="Arial" w:hAnsi="Arial" w:cs="Arial"/>
                <w:sz w:val="20"/>
                <w:szCs w:val="20"/>
              </w:rPr>
              <w:t>20080</w:t>
            </w:r>
            <w:r w:rsidRPr="00811003">
              <w:rPr>
                <w:rFonts w:ascii="Arial" w:hAnsi="Arial" w:cs="Arial"/>
                <w:sz w:val="20"/>
                <w:szCs w:val="20"/>
              </w:rPr>
              <w:t>)</w:t>
            </w: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Department:</w:t>
            </w:r>
          </w:p>
        </w:tc>
        <w:tc>
          <w:tcPr>
            <w:tcW w:w="7380" w:type="dxa"/>
            <w:tcBorders>
              <w:top w:val="nil"/>
              <w:left w:val="nil"/>
              <w:bottom w:val="nil"/>
            </w:tcBorders>
            <w:shd w:val="clear" w:color="auto" w:fill="auto"/>
          </w:tcPr>
          <w:p w:rsidR="00D52FF7" w:rsidRPr="00811003" w:rsidRDefault="00813A04" w:rsidP="00D52FF7">
            <w:pPr>
              <w:rPr>
                <w:rFonts w:ascii="Arial" w:hAnsi="Arial" w:cs="Arial"/>
                <w:sz w:val="20"/>
                <w:szCs w:val="20"/>
              </w:rPr>
            </w:pPr>
            <w:r w:rsidRPr="00811003">
              <w:rPr>
                <w:rFonts w:ascii="Arial" w:hAnsi="Arial" w:cs="Arial"/>
                <w:sz w:val="20"/>
                <w:szCs w:val="20"/>
              </w:rPr>
              <w:t>Mathematics</w:t>
            </w: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811003" w:rsidRDefault="00D52FF7" w:rsidP="00EE43BC">
            <w:pPr>
              <w:rPr>
                <w:rFonts w:ascii="Arial" w:hAnsi="Arial" w:cs="Arial"/>
                <w:sz w:val="20"/>
                <w:szCs w:val="20"/>
              </w:rPr>
            </w:pP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Extra Help:</w:t>
            </w:r>
          </w:p>
        </w:tc>
        <w:tc>
          <w:tcPr>
            <w:tcW w:w="7380" w:type="dxa"/>
            <w:tcBorders>
              <w:top w:val="nil"/>
              <w:left w:val="nil"/>
              <w:bottom w:val="nil"/>
            </w:tcBorders>
            <w:shd w:val="clear" w:color="auto" w:fill="auto"/>
          </w:tcPr>
          <w:p w:rsidR="00D52FF7" w:rsidRPr="00811003" w:rsidRDefault="00D25256" w:rsidP="00D52FF7">
            <w:pPr>
              <w:rPr>
                <w:rFonts w:ascii="Arial" w:hAnsi="Arial" w:cs="Arial"/>
                <w:sz w:val="20"/>
                <w:szCs w:val="20"/>
              </w:rPr>
            </w:pPr>
            <w:r>
              <w:rPr>
                <w:rFonts w:ascii="Arial" w:hAnsi="Arial" w:cs="Arial"/>
                <w:sz w:val="20"/>
                <w:szCs w:val="20"/>
              </w:rPr>
              <w:t>By appointment: B</w:t>
            </w:r>
            <w:r w:rsidR="00813A04" w:rsidRPr="00811003">
              <w:rPr>
                <w:rFonts w:ascii="Arial" w:hAnsi="Arial" w:cs="Arial"/>
                <w:sz w:val="20"/>
                <w:szCs w:val="20"/>
              </w:rPr>
              <w:t>efore school, lunch and after school</w:t>
            </w: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Textbook and Replacement Cost:</w:t>
            </w:r>
          </w:p>
        </w:tc>
        <w:tc>
          <w:tcPr>
            <w:tcW w:w="7380" w:type="dxa"/>
            <w:tcBorders>
              <w:top w:val="nil"/>
              <w:left w:val="nil"/>
              <w:bottom w:val="nil"/>
            </w:tcBorders>
            <w:shd w:val="clear" w:color="auto" w:fill="auto"/>
          </w:tcPr>
          <w:p w:rsidR="00D52FF7" w:rsidRPr="00811003" w:rsidRDefault="00D35674" w:rsidP="00D52FF7">
            <w:pPr>
              <w:rPr>
                <w:rFonts w:ascii="Arial" w:hAnsi="Arial" w:cs="Arial"/>
                <w:sz w:val="20"/>
                <w:szCs w:val="20"/>
              </w:rPr>
            </w:pPr>
            <w:r w:rsidRPr="00811003">
              <w:rPr>
                <w:rFonts w:ascii="Arial" w:hAnsi="Arial" w:cs="Arial"/>
                <w:sz w:val="20"/>
                <w:szCs w:val="20"/>
              </w:rPr>
              <w:t>Advanced Functions 12 – Nelson  ($9</w:t>
            </w:r>
            <w:r w:rsidR="004942F7" w:rsidRPr="00811003">
              <w:rPr>
                <w:rFonts w:ascii="Arial" w:hAnsi="Arial" w:cs="Arial"/>
                <w:sz w:val="20"/>
                <w:szCs w:val="20"/>
              </w:rPr>
              <w:t>0</w:t>
            </w:r>
            <w:r w:rsidRPr="00811003">
              <w:rPr>
                <w:rFonts w:ascii="Arial" w:hAnsi="Arial" w:cs="Arial"/>
                <w:sz w:val="20"/>
                <w:szCs w:val="20"/>
              </w:rPr>
              <w:t xml:space="preserve"> fee is charged for lost textbook</w:t>
            </w:r>
            <w:r w:rsidR="004942F7" w:rsidRPr="00811003">
              <w:rPr>
                <w:rFonts w:ascii="Arial" w:hAnsi="Arial" w:cs="Arial"/>
                <w:sz w:val="20"/>
                <w:szCs w:val="20"/>
              </w:rPr>
              <w:t>)</w:t>
            </w:r>
          </w:p>
        </w:tc>
      </w:tr>
      <w:tr w:rsidR="00D52FF7" w:rsidRPr="00811003" w:rsidTr="00811003">
        <w:trPr>
          <w:jc w:val="center"/>
        </w:trPr>
        <w:tc>
          <w:tcPr>
            <w:tcW w:w="3618" w:type="dxa"/>
            <w:tcBorders>
              <w:top w:val="nil"/>
              <w:bottom w:val="nil"/>
              <w:right w:val="nil"/>
            </w:tcBorders>
            <w:shd w:val="clear" w:color="auto" w:fill="auto"/>
          </w:tcPr>
          <w:p w:rsidR="00D52FF7" w:rsidRPr="00811003" w:rsidRDefault="00D52FF7" w:rsidP="00D52FF7">
            <w:pPr>
              <w:rPr>
                <w:rFonts w:ascii="Arial" w:hAnsi="Arial" w:cs="Arial"/>
                <w:sz w:val="20"/>
                <w:szCs w:val="20"/>
              </w:rPr>
            </w:pPr>
            <w:r w:rsidRPr="00811003">
              <w:rPr>
                <w:rFonts w:ascii="Arial" w:hAnsi="Arial" w:cs="Arial"/>
                <w:sz w:val="20"/>
                <w:szCs w:val="20"/>
              </w:rPr>
              <w:t>Material Required:</w:t>
            </w:r>
          </w:p>
        </w:tc>
        <w:tc>
          <w:tcPr>
            <w:tcW w:w="7380" w:type="dxa"/>
            <w:tcBorders>
              <w:top w:val="nil"/>
              <w:left w:val="nil"/>
              <w:bottom w:val="nil"/>
            </w:tcBorders>
            <w:shd w:val="clear" w:color="auto" w:fill="auto"/>
          </w:tcPr>
          <w:p w:rsidR="00D52FF7" w:rsidRPr="00811003" w:rsidRDefault="00813A04" w:rsidP="00D52FF7">
            <w:pPr>
              <w:rPr>
                <w:rFonts w:ascii="Arial" w:hAnsi="Arial" w:cs="Arial"/>
                <w:sz w:val="20"/>
                <w:szCs w:val="20"/>
              </w:rPr>
            </w:pPr>
            <w:r w:rsidRPr="00811003">
              <w:rPr>
                <w:rFonts w:ascii="Arial" w:hAnsi="Arial" w:cs="Arial"/>
                <w:sz w:val="20"/>
                <w:szCs w:val="20"/>
              </w:rPr>
              <w:t xml:space="preserve">Binder, pen, pencil, ruler, </w:t>
            </w:r>
            <w:r w:rsidR="00D35674" w:rsidRPr="00811003">
              <w:rPr>
                <w:rFonts w:ascii="Arial" w:hAnsi="Arial" w:cs="Arial"/>
                <w:sz w:val="20"/>
                <w:szCs w:val="20"/>
              </w:rPr>
              <w:t xml:space="preserve">graph paper </w:t>
            </w:r>
            <w:r w:rsidRPr="00811003">
              <w:rPr>
                <w:rFonts w:ascii="Arial" w:hAnsi="Arial" w:cs="Arial"/>
                <w:sz w:val="20"/>
                <w:szCs w:val="20"/>
              </w:rPr>
              <w:t>and scientific calculator</w:t>
            </w:r>
          </w:p>
        </w:tc>
      </w:tr>
      <w:tr w:rsidR="002C0B4F" w:rsidRPr="00811003" w:rsidTr="00811003">
        <w:trPr>
          <w:jc w:val="center"/>
        </w:trPr>
        <w:tc>
          <w:tcPr>
            <w:tcW w:w="3618" w:type="dxa"/>
            <w:tcBorders>
              <w:top w:val="nil"/>
              <w:bottom w:val="single" w:sz="4" w:space="0" w:color="auto"/>
              <w:right w:val="nil"/>
            </w:tcBorders>
            <w:shd w:val="clear" w:color="auto" w:fill="auto"/>
          </w:tcPr>
          <w:p w:rsidR="002C0B4F" w:rsidRPr="00811003" w:rsidRDefault="002C0B4F"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2C0B4F" w:rsidRPr="00811003" w:rsidRDefault="002C0B4F" w:rsidP="00D52FF7">
            <w:pPr>
              <w:rPr>
                <w:rFonts w:ascii="Arial" w:hAnsi="Arial" w:cs="Arial"/>
                <w:sz w:val="16"/>
                <w:szCs w:val="16"/>
              </w:rPr>
            </w:pPr>
          </w:p>
        </w:tc>
      </w:tr>
      <w:tr w:rsidR="002C0B4F" w:rsidRPr="00811003" w:rsidTr="00811003">
        <w:trPr>
          <w:jc w:val="center"/>
        </w:trPr>
        <w:tc>
          <w:tcPr>
            <w:tcW w:w="3618" w:type="dxa"/>
            <w:shd w:val="clear" w:color="auto" w:fill="C0C0C0"/>
            <w:vAlign w:val="center"/>
          </w:tcPr>
          <w:p w:rsidR="002C0B4F" w:rsidRPr="00811003" w:rsidRDefault="002C0B4F" w:rsidP="00D52FF7">
            <w:pPr>
              <w:rPr>
                <w:rFonts w:ascii="Arial" w:hAnsi="Arial" w:cs="Arial"/>
                <w:b/>
                <w:sz w:val="20"/>
                <w:szCs w:val="20"/>
              </w:rPr>
            </w:pPr>
            <w:r w:rsidRPr="00811003">
              <w:rPr>
                <w:rFonts w:ascii="Arial" w:hAnsi="Arial" w:cs="Arial"/>
                <w:b/>
                <w:sz w:val="20"/>
                <w:szCs w:val="20"/>
              </w:rPr>
              <w:t>Course Description</w:t>
            </w:r>
          </w:p>
        </w:tc>
        <w:tc>
          <w:tcPr>
            <w:tcW w:w="7380" w:type="dxa"/>
            <w:shd w:val="clear" w:color="auto" w:fill="auto"/>
          </w:tcPr>
          <w:p w:rsidR="002C0B4F" w:rsidRPr="00811003" w:rsidRDefault="002C0B4F" w:rsidP="00D52FF7">
            <w:pPr>
              <w:rPr>
                <w:rFonts w:ascii="Arial" w:hAnsi="Arial" w:cs="Arial"/>
                <w:sz w:val="16"/>
                <w:szCs w:val="16"/>
              </w:rPr>
            </w:pPr>
          </w:p>
        </w:tc>
      </w:tr>
      <w:tr w:rsidR="002C0B4F" w:rsidRPr="00811003" w:rsidTr="00811003">
        <w:trPr>
          <w:jc w:val="center"/>
        </w:trPr>
        <w:tc>
          <w:tcPr>
            <w:tcW w:w="10998" w:type="dxa"/>
            <w:gridSpan w:val="2"/>
            <w:tcBorders>
              <w:bottom w:val="nil"/>
            </w:tcBorders>
            <w:shd w:val="clear" w:color="auto" w:fill="auto"/>
          </w:tcPr>
          <w:p w:rsidR="002C0B4F" w:rsidRPr="00811003" w:rsidRDefault="002C0B4F" w:rsidP="00811003">
            <w:pPr>
              <w:autoSpaceDE w:val="0"/>
              <w:autoSpaceDN w:val="0"/>
              <w:adjustRightInd w:val="0"/>
              <w:rPr>
                <w:rFonts w:ascii="Arial" w:hAnsi="Arial" w:cs="Arial"/>
                <w:sz w:val="18"/>
                <w:szCs w:val="18"/>
              </w:rPr>
            </w:pPr>
            <w:r w:rsidRPr="00811003">
              <w:rPr>
                <w:rFonts w:ascii="Arial" w:hAnsi="Arial" w:cs="Arial"/>
                <w:color w:val="231F20"/>
                <w:sz w:val="18"/>
                <w:szCs w:val="18"/>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rsidR="002C0B4F" w:rsidRPr="00811003" w:rsidRDefault="002C0B4F" w:rsidP="00811003">
            <w:pPr>
              <w:tabs>
                <w:tab w:val="left" w:pos="1980"/>
              </w:tabs>
              <w:autoSpaceDE w:val="0"/>
              <w:autoSpaceDN w:val="0"/>
              <w:adjustRightInd w:val="0"/>
              <w:rPr>
                <w:rFonts w:ascii="Arial" w:hAnsi="Arial" w:cs="Arial"/>
                <w:sz w:val="18"/>
                <w:szCs w:val="18"/>
              </w:rPr>
            </w:pPr>
          </w:p>
          <w:p w:rsidR="002C0B4F" w:rsidRPr="00811003" w:rsidRDefault="002C0B4F" w:rsidP="00811003">
            <w:pPr>
              <w:tabs>
                <w:tab w:val="left" w:pos="1980"/>
              </w:tabs>
              <w:autoSpaceDE w:val="0"/>
              <w:autoSpaceDN w:val="0"/>
              <w:adjustRightInd w:val="0"/>
              <w:rPr>
                <w:rFonts w:ascii="Arial" w:hAnsi="Arial" w:cs="Arial"/>
                <w:sz w:val="18"/>
                <w:szCs w:val="18"/>
              </w:rPr>
            </w:pPr>
            <w:r w:rsidRPr="00811003">
              <w:rPr>
                <w:rFonts w:ascii="Arial" w:hAnsi="Arial" w:cs="Arial"/>
                <w:sz w:val="18"/>
                <w:szCs w:val="18"/>
              </w:rPr>
              <w:t>The course is organized into 4 strands:</w:t>
            </w:r>
          </w:p>
          <w:p w:rsidR="00D35674" w:rsidRPr="00811003" w:rsidRDefault="00D35674" w:rsidP="00811003">
            <w:pPr>
              <w:numPr>
                <w:ilvl w:val="0"/>
                <w:numId w:val="1"/>
              </w:numPr>
              <w:tabs>
                <w:tab w:val="left" w:pos="1980"/>
              </w:tabs>
              <w:autoSpaceDE w:val="0"/>
              <w:autoSpaceDN w:val="0"/>
              <w:adjustRightInd w:val="0"/>
              <w:rPr>
                <w:rFonts w:ascii="Arial" w:hAnsi="Arial" w:cs="Arial"/>
                <w:sz w:val="18"/>
                <w:szCs w:val="18"/>
              </w:rPr>
            </w:pPr>
            <w:r w:rsidRPr="00811003">
              <w:rPr>
                <w:rFonts w:ascii="Arial" w:hAnsi="Arial" w:cs="Arial"/>
                <w:sz w:val="18"/>
                <w:szCs w:val="18"/>
              </w:rPr>
              <w:t>Trigonometric Functions</w:t>
            </w:r>
          </w:p>
          <w:p w:rsidR="002C0B4F" w:rsidRPr="00811003" w:rsidRDefault="002C0B4F" w:rsidP="00811003">
            <w:pPr>
              <w:numPr>
                <w:ilvl w:val="0"/>
                <w:numId w:val="1"/>
              </w:numPr>
              <w:tabs>
                <w:tab w:val="left" w:pos="1980"/>
              </w:tabs>
              <w:autoSpaceDE w:val="0"/>
              <w:autoSpaceDN w:val="0"/>
              <w:adjustRightInd w:val="0"/>
              <w:rPr>
                <w:rFonts w:ascii="Arial" w:hAnsi="Arial" w:cs="Arial"/>
                <w:sz w:val="18"/>
                <w:szCs w:val="18"/>
              </w:rPr>
            </w:pPr>
            <w:r w:rsidRPr="00811003">
              <w:rPr>
                <w:rFonts w:ascii="Arial" w:hAnsi="Arial" w:cs="Arial"/>
                <w:sz w:val="18"/>
                <w:szCs w:val="18"/>
              </w:rPr>
              <w:t>Exponential and Logarithmic Functions</w:t>
            </w:r>
          </w:p>
          <w:p w:rsidR="002C0B4F" w:rsidRPr="00811003" w:rsidRDefault="002C0B4F" w:rsidP="00811003">
            <w:pPr>
              <w:numPr>
                <w:ilvl w:val="0"/>
                <w:numId w:val="1"/>
              </w:numPr>
              <w:tabs>
                <w:tab w:val="left" w:pos="1980"/>
              </w:tabs>
              <w:autoSpaceDE w:val="0"/>
              <w:autoSpaceDN w:val="0"/>
              <w:adjustRightInd w:val="0"/>
              <w:rPr>
                <w:rFonts w:ascii="Arial" w:hAnsi="Arial" w:cs="Arial"/>
                <w:sz w:val="18"/>
                <w:szCs w:val="18"/>
              </w:rPr>
            </w:pPr>
            <w:r w:rsidRPr="00811003">
              <w:rPr>
                <w:rFonts w:ascii="Arial" w:hAnsi="Arial" w:cs="Arial"/>
                <w:sz w:val="18"/>
                <w:szCs w:val="18"/>
              </w:rPr>
              <w:t>Polynomial and Rational Functions</w:t>
            </w:r>
          </w:p>
          <w:p w:rsidR="002C0B4F" w:rsidRPr="00811003" w:rsidRDefault="002C0B4F" w:rsidP="00811003">
            <w:pPr>
              <w:numPr>
                <w:ilvl w:val="0"/>
                <w:numId w:val="1"/>
              </w:numPr>
              <w:tabs>
                <w:tab w:val="left" w:pos="1980"/>
              </w:tabs>
              <w:autoSpaceDE w:val="0"/>
              <w:autoSpaceDN w:val="0"/>
              <w:adjustRightInd w:val="0"/>
              <w:rPr>
                <w:rFonts w:ascii="Arial" w:hAnsi="Arial" w:cs="Arial"/>
                <w:sz w:val="18"/>
                <w:szCs w:val="18"/>
              </w:rPr>
            </w:pPr>
            <w:r w:rsidRPr="00811003">
              <w:rPr>
                <w:rFonts w:ascii="Arial" w:hAnsi="Arial" w:cs="Arial"/>
                <w:sz w:val="18"/>
                <w:szCs w:val="18"/>
              </w:rPr>
              <w:t>Characteristics of Functions</w:t>
            </w:r>
          </w:p>
          <w:p w:rsidR="002C0B4F" w:rsidRPr="00811003" w:rsidRDefault="002C0B4F" w:rsidP="00811003">
            <w:pPr>
              <w:tabs>
                <w:tab w:val="left" w:pos="1980"/>
              </w:tabs>
              <w:autoSpaceDE w:val="0"/>
              <w:autoSpaceDN w:val="0"/>
              <w:adjustRightInd w:val="0"/>
              <w:ind w:left="360"/>
              <w:rPr>
                <w:rFonts w:ascii="Arial" w:hAnsi="Arial" w:cs="Arial"/>
                <w:sz w:val="18"/>
                <w:szCs w:val="18"/>
              </w:rPr>
            </w:pPr>
          </w:p>
          <w:p w:rsidR="002C0B4F" w:rsidRPr="00811003" w:rsidRDefault="002C0B4F" w:rsidP="00811003">
            <w:pPr>
              <w:tabs>
                <w:tab w:val="left" w:pos="1980"/>
              </w:tabs>
              <w:autoSpaceDE w:val="0"/>
              <w:autoSpaceDN w:val="0"/>
              <w:adjustRightInd w:val="0"/>
              <w:rPr>
                <w:rFonts w:ascii="Arial" w:hAnsi="Arial" w:cs="Arial"/>
                <w:sz w:val="18"/>
                <w:szCs w:val="18"/>
              </w:rPr>
            </w:pPr>
            <w:r w:rsidRPr="00811003">
              <w:rPr>
                <w:rFonts w:ascii="Arial" w:hAnsi="Arial" w:cs="Arial"/>
                <w:sz w:val="18"/>
                <w:szCs w:val="18"/>
              </w:rPr>
              <w:t>A detailed list of the course expectations can be found at: www.edu.gov.on.ca/eng/curriculum/secondary/math1112currb.pdf</w:t>
            </w:r>
          </w:p>
        </w:tc>
      </w:tr>
      <w:tr w:rsidR="002C0B4F" w:rsidRPr="00811003" w:rsidTr="00811003">
        <w:trPr>
          <w:jc w:val="center"/>
        </w:trPr>
        <w:tc>
          <w:tcPr>
            <w:tcW w:w="10998" w:type="dxa"/>
            <w:gridSpan w:val="2"/>
            <w:tcBorders>
              <w:top w:val="nil"/>
            </w:tcBorders>
            <w:shd w:val="clear" w:color="auto" w:fill="auto"/>
          </w:tcPr>
          <w:p w:rsidR="002C0B4F" w:rsidRPr="00811003" w:rsidRDefault="002C0B4F" w:rsidP="00D52FF7">
            <w:pPr>
              <w:rPr>
                <w:rFonts w:ascii="Arial" w:hAnsi="Arial" w:cs="Arial"/>
                <w:b/>
                <w:sz w:val="16"/>
                <w:szCs w:val="16"/>
              </w:rPr>
            </w:pPr>
          </w:p>
        </w:tc>
      </w:tr>
      <w:tr w:rsidR="002C0B4F" w:rsidRPr="00811003" w:rsidTr="00811003">
        <w:trPr>
          <w:jc w:val="center"/>
        </w:trPr>
        <w:tc>
          <w:tcPr>
            <w:tcW w:w="10998" w:type="dxa"/>
            <w:gridSpan w:val="2"/>
            <w:shd w:val="clear" w:color="auto" w:fill="C0C0C0"/>
            <w:vAlign w:val="center"/>
          </w:tcPr>
          <w:p w:rsidR="002C0B4F" w:rsidRPr="00811003" w:rsidRDefault="002C0B4F" w:rsidP="00D52FF7">
            <w:pPr>
              <w:rPr>
                <w:rFonts w:ascii="Arial" w:hAnsi="Arial" w:cs="Arial"/>
                <w:b/>
                <w:sz w:val="20"/>
                <w:szCs w:val="20"/>
              </w:rPr>
            </w:pPr>
            <w:r w:rsidRPr="00811003">
              <w:rPr>
                <w:rFonts w:ascii="Arial" w:hAnsi="Arial" w:cs="Arial"/>
                <w:b/>
                <w:sz w:val="20"/>
                <w:szCs w:val="20"/>
              </w:rPr>
              <w:t>Assessment and Evaluation</w:t>
            </w:r>
          </w:p>
        </w:tc>
      </w:tr>
      <w:tr w:rsidR="002C0B4F" w:rsidRPr="00811003" w:rsidTr="00811003">
        <w:trPr>
          <w:jc w:val="center"/>
        </w:trPr>
        <w:tc>
          <w:tcPr>
            <w:tcW w:w="10998" w:type="dxa"/>
            <w:gridSpan w:val="2"/>
            <w:tcBorders>
              <w:bottom w:val="single" w:sz="4" w:space="0" w:color="auto"/>
            </w:tcBorders>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To promote student success, ongoing assessment and feedback will be given regularly to the students.  A variety of assessment and evaluation strategies will be used in this course, including quizzes, tests and assignments.  Expectations will be evaluated based on the provincial curriculum expectations and the achievement levels outlined in the ministry document.</w:t>
            </w:r>
          </w:p>
          <w:p w:rsidR="002C0B4F" w:rsidRPr="00811003" w:rsidRDefault="002C0B4F" w:rsidP="00D52FF7">
            <w:pPr>
              <w:rPr>
                <w:rFonts w:ascii="Arial" w:hAnsi="Arial" w:cs="Arial"/>
                <w:sz w:val="18"/>
                <w:szCs w:val="18"/>
              </w:rPr>
            </w:pPr>
          </w:p>
          <w:p w:rsidR="002C0B4F" w:rsidRPr="00811003" w:rsidRDefault="002C0B4F" w:rsidP="00D52FF7">
            <w:pPr>
              <w:rPr>
                <w:rFonts w:ascii="Arial" w:hAnsi="Arial" w:cs="Arial"/>
                <w:sz w:val="18"/>
                <w:szCs w:val="18"/>
              </w:rPr>
            </w:pPr>
            <w:r w:rsidRPr="00811003">
              <w:rPr>
                <w:rFonts w:ascii="Arial" w:hAnsi="Arial" w:cs="Arial"/>
                <w:sz w:val="18"/>
                <w:szCs w:val="18"/>
              </w:rPr>
              <w:t xml:space="preserve">Expectations are organized into four categories of knowledge and skills.  The categories and their </w:t>
            </w:r>
            <w:r w:rsidR="00D35674" w:rsidRPr="00811003">
              <w:rPr>
                <w:rFonts w:ascii="Arial" w:hAnsi="Arial" w:cs="Arial"/>
                <w:sz w:val="18"/>
                <w:szCs w:val="18"/>
              </w:rPr>
              <w:t xml:space="preserve">maximum </w:t>
            </w:r>
            <w:r w:rsidRPr="00811003">
              <w:rPr>
                <w:rFonts w:ascii="Arial" w:hAnsi="Arial" w:cs="Arial"/>
                <w:sz w:val="18"/>
                <w:szCs w:val="18"/>
              </w:rPr>
              <w:t>corresponding weighting is as follows:</w:t>
            </w:r>
          </w:p>
          <w:tbl>
            <w:tblPr>
              <w:tblW w:w="0" w:type="auto"/>
              <w:tblInd w:w="612" w:type="dxa"/>
              <w:tblLook w:val="01E0" w:firstRow="1" w:lastRow="1" w:firstColumn="1" w:lastColumn="1" w:noHBand="0" w:noVBand="0"/>
            </w:tblPr>
            <w:tblGrid>
              <w:gridCol w:w="3632"/>
              <w:gridCol w:w="4657"/>
            </w:tblGrid>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Knowledge and Understanding</w:t>
                  </w:r>
                </w:p>
              </w:tc>
              <w:tc>
                <w:tcPr>
                  <w:tcW w:w="4657" w:type="dxa"/>
                  <w:shd w:val="clear" w:color="auto" w:fill="auto"/>
                </w:tcPr>
                <w:p w:rsidR="002C0B4F" w:rsidRPr="00811003" w:rsidRDefault="001B1F22" w:rsidP="00D52FF7">
                  <w:pPr>
                    <w:rPr>
                      <w:rFonts w:ascii="Arial" w:hAnsi="Arial" w:cs="Arial"/>
                      <w:sz w:val="18"/>
                      <w:szCs w:val="18"/>
                    </w:rPr>
                  </w:pPr>
                  <w:r>
                    <w:rPr>
                      <w:rFonts w:ascii="Arial" w:hAnsi="Arial" w:cs="Arial"/>
                      <w:sz w:val="18"/>
                      <w:szCs w:val="18"/>
                    </w:rPr>
                    <w:t xml:space="preserve">20 - </w:t>
                  </w:r>
                  <w:r w:rsidR="002C0B4F" w:rsidRPr="00811003">
                    <w:rPr>
                      <w:rFonts w:ascii="Arial" w:hAnsi="Arial" w:cs="Arial"/>
                      <w:sz w:val="18"/>
                      <w:szCs w:val="18"/>
                    </w:rPr>
                    <w:t>35%</w:t>
                  </w:r>
                </w:p>
              </w:tc>
            </w:tr>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Thinking</w:t>
                  </w:r>
                </w:p>
              </w:tc>
              <w:tc>
                <w:tcPr>
                  <w:tcW w:w="4657"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15</w:t>
                  </w:r>
                  <w:r w:rsidR="001B1F22">
                    <w:rPr>
                      <w:rFonts w:ascii="Arial" w:hAnsi="Arial" w:cs="Arial"/>
                      <w:sz w:val="18"/>
                      <w:szCs w:val="18"/>
                    </w:rPr>
                    <w:t xml:space="preserve"> - 25</w:t>
                  </w:r>
                  <w:r w:rsidRPr="00811003">
                    <w:rPr>
                      <w:rFonts w:ascii="Arial" w:hAnsi="Arial" w:cs="Arial"/>
                      <w:sz w:val="18"/>
                      <w:szCs w:val="18"/>
                    </w:rPr>
                    <w:t>%</w:t>
                  </w:r>
                </w:p>
              </w:tc>
            </w:tr>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Communication</w:t>
                  </w:r>
                </w:p>
              </w:tc>
              <w:tc>
                <w:tcPr>
                  <w:tcW w:w="4657"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15</w:t>
                  </w:r>
                  <w:r w:rsidR="006D0C7F">
                    <w:rPr>
                      <w:rFonts w:ascii="Arial" w:hAnsi="Arial" w:cs="Arial"/>
                      <w:sz w:val="18"/>
                      <w:szCs w:val="18"/>
                    </w:rPr>
                    <w:t xml:space="preserve"> - 30</w:t>
                  </w:r>
                  <w:r w:rsidRPr="00811003">
                    <w:rPr>
                      <w:rFonts w:ascii="Arial" w:hAnsi="Arial" w:cs="Arial"/>
                      <w:sz w:val="18"/>
                      <w:szCs w:val="18"/>
                    </w:rPr>
                    <w:t>%</w:t>
                  </w:r>
                </w:p>
              </w:tc>
            </w:tr>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Application</w:t>
                  </w:r>
                </w:p>
              </w:tc>
              <w:tc>
                <w:tcPr>
                  <w:tcW w:w="4657" w:type="dxa"/>
                  <w:shd w:val="clear" w:color="auto" w:fill="auto"/>
                </w:tcPr>
                <w:p w:rsidR="002C0B4F" w:rsidRPr="00811003" w:rsidRDefault="001B1F22" w:rsidP="00D52FF7">
                  <w:pPr>
                    <w:rPr>
                      <w:rFonts w:ascii="Arial" w:hAnsi="Arial" w:cs="Arial"/>
                      <w:sz w:val="18"/>
                      <w:szCs w:val="18"/>
                    </w:rPr>
                  </w:pPr>
                  <w:r>
                    <w:rPr>
                      <w:rFonts w:ascii="Arial" w:hAnsi="Arial" w:cs="Arial"/>
                      <w:sz w:val="18"/>
                      <w:szCs w:val="18"/>
                    </w:rPr>
                    <w:t>1</w:t>
                  </w:r>
                  <w:r w:rsidR="002C0B4F" w:rsidRPr="00811003">
                    <w:rPr>
                      <w:rFonts w:ascii="Arial" w:hAnsi="Arial" w:cs="Arial"/>
                      <w:sz w:val="18"/>
                      <w:szCs w:val="18"/>
                    </w:rPr>
                    <w:t>5</w:t>
                  </w:r>
                  <w:r>
                    <w:rPr>
                      <w:rFonts w:ascii="Arial" w:hAnsi="Arial" w:cs="Arial"/>
                      <w:sz w:val="18"/>
                      <w:szCs w:val="18"/>
                    </w:rPr>
                    <w:t xml:space="preserve"> - 25</w:t>
                  </w:r>
                  <w:r w:rsidR="002C0B4F" w:rsidRPr="00811003">
                    <w:rPr>
                      <w:rFonts w:ascii="Arial" w:hAnsi="Arial" w:cs="Arial"/>
                      <w:sz w:val="18"/>
                      <w:szCs w:val="18"/>
                    </w:rPr>
                    <w:t>%</w:t>
                  </w:r>
                </w:p>
              </w:tc>
            </w:tr>
          </w:tbl>
          <w:p w:rsidR="002C0B4F" w:rsidRPr="00811003" w:rsidRDefault="002C0B4F" w:rsidP="00811003">
            <w:pPr>
              <w:autoSpaceDE w:val="0"/>
              <w:autoSpaceDN w:val="0"/>
              <w:adjustRightInd w:val="0"/>
              <w:rPr>
                <w:rFonts w:ascii="Arial" w:hAnsi="Arial" w:cs="Arial"/>
                <w:sz w:val="18"/>
                <w:szCs w:val="18"/>
              </w:rPr>
            </w:pPr>
          </w:p>
          <w:p w:rsidR="002C0B4F" w:rsidRPr="00811003" w:rsidRDefault="002C0B4F" w:rsidP="00811003">
            <w:pPr>
              <w:autoSpaceDE w:val="0"/>
              <w:autoSpaceDN w:val="0"/>
              <w:adjustRightInd w:val="0"/>
              <w:rPr>
                <w:rFonts w:ascii="Arial" w:hAnsi="Arial" w:cs="Arial"/>
                <w:sz w:val="18"/>
                <w:szCs w:val="18"/>
              </w:rPr>
            </w:pPr>
            <w:r w:rsidRPr="00811003">
              <w:rPr>
                <w:rFonts w:ascii="Arial" w:hAnsi="Arial" w:cs="Arial"/>
                <w:sz w:val="18"/>
                <w:szCs w:val="18"/>
              </w:rPr>
              <w:t>Each student’s final mark will be in the form of a percentage grade based on their achievement in the 4 categories on the achievement chart.  The breakdown of the final mark is as followed:</w:t>
            </w:r>
          </w:p>
          <w:tbl>
            <w:tblPr>
              <w:tblW w:w="0" w:type="auto"/>
              <w:tblInd w:w="612" w:type="dxa"/>
              <w:tblLook w:val="01E0" w:firstRow="1" w:lastRow="1" w:firstColumn="1" w:lastColumn="1" w:noHBand="0" w:noVBand="0"/>
            </w:tblPr>
            <w:tblGrid>
              <w:gridCol w:w="3632"/>
              <w:gridCol w:w="830"/>
            </w:tblGrid>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Term Evaluation</w:t>
                  </w:r>
                </w:p>
              </w:tc>
              <w:tc>
                <w:tcPr>
                  <w:tcW w:w="830"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70%</w:t>
                  </w:r>
                </w:p>
              </w:tc>
            </w:tr>
            <w:tr w:rsidR="002C0B4F" w:rsidRPr="00811003" w:rsidTr="00811003">
              <w:tc>
                <w:tcPr>
                  <w:tcW w:w="3632"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Final Evaluation</w:t>
                  </w:r>
                </w:p>
              </w:tc>
              <w:tc>
                <w:tcPr>
                  <w:tcW w:w="830" w:type="dxa"/>
                  <w:shd w:val="clear" w:color="auto" w:fill="auto"/>
                </w:tcPr>
                <w:p w:rsidR="002C0B4F" w:rsidRPr="00811003" w:rsidRDefault="002C0B4F" w:rsidP="00D52FF7">
                  <w:pPr>
                    <w:rPr>
                      <w:rFonts w:ascii="Arial" w:hAnsi="Arial" w:cs="Arial"/>
                      <w:sz w:val="18"/>
                      <w:szCs w:val="18"/>
                    </w:rPr>
                  </w:pPr>
                  <w:r w:rsidRPr="00811003">
                    <w:rPr>
                      <w:rFonts w:ascii="Arial" w:hAnsi="Arial" w:cs="Arial"/>
                      <w:sz w:val="18"/>
                      <w:szCs w:val="18"/>
                    </w:rPr>
                    <w:t>30%</w:t>
                  </w:r>
                </w:p>
              </w:tc>
            </w:tr>
          </w:tbl>
          <w:p w:rsidR="002C0B4F" w:rsidRPr="00811003" w:rsidRDefault="002C0B4F" w:rsidP="00811003">
            <w:pPr>
              <w:autoSpaceDE w:val="0"/>
              <w:autoSpaceDN w:val="0"/>
              <w:adjustRightInd w:val="0"/>
              <w:rPr>
                <w:rFonts w:ascii="Arial" w:hAnsi="Arial" w:cs="Arial"/>
                <w:sz w:val="18"/>
                <w:szCs w:val="18"/>
              </w:rPr>
            </w:pPr>
          </w:p>
          <w:p w:rsidR="002C0B4F" w:rsidRPr="00811003" w:rsidRDefault="002C0B4F" w:rsidP="00811003">
            <w:pPr>
              <w:autoSpaceDE w:val="0"/>
              <w:autoSpaceDN w:val="0"/>
              <w:adjustRightInd w:val="0"/>
              <w:rPr>
                <w:rFonts w:ascii="Arial" w:hAnsi="Arial" w:cs="Arial"/>
                <w:sz w:val="18"/>
                <w:szCs w:val="18"/>
              </w:rPr>
            </w:pPr>
            <w:r w:rsidRPr="00811003">
              <w:rPr>
                <w:rFonts w:ascii="Arial" w:hAnsi="Arial" w:cs="Arial"/>
                <w:sz w:val="18"/>
                <w:szCs w:val="18"/>
              </w:rPr>
              <w:t>The final Evaluation will be completed during the final 6 weeks of the course and may include a variety of summative activities including an exam, a presentation, a seminar, or an essay or another writing assignment.</w:t>
            </w:r>
          </w:p>
          <w:p w:rsidR="002C0B4F" w:rsidRPr="00811003" w:rsidRDefault="002C0B4F" w:rsidP="00811003">
            <w:pPr>
              <w:autoSpaceDE w:val="0"/>
              <w:autoSpaceDN w:val="0"/>
              <w:adjustRightInd w:val="0"/>
              <w:rPr>
                <w:rFonts w:ascii="Arial" w:hAnsi="Arial" w:cs="Arial"/>
                <w:sz w:val="18"/>
                <w:szCs w:val="18"/>
              </w:rPr>
            </w:pPr>
          </w:p>
          <w:p w:rsidR="002C0B4F" w:rsidRPr="00811003" w:rsidRDefault="002C0B4F" w:rsidP="00811003">
            <w:pPr>
              <w:autoSpaceDE w:val="0"/>
              <w:autoSpaceDN w:val="0"/>
              <w:adjustRightInd w:val="0"/>
              <w:rPr>
                <w:rFonts w:ascii="Arial" w:hAnsi="Arial" w:cs="Arial"/>
                <w:sz w:val="18"/>
                <w:szCs w:val="18"/>
              </w:rPr>
            </w:pPr>
            <w:r w:rsidRPr="00811003">
              <w:rPr>
                <w:rFonts w:ascii="Arial" w:hAnsi="Arial" w:cs="Arial"/>
                <w:sz w:val="18"/>
                <w:szCs w:val="18"/>
              </w:rPr>
              <w:t>In addition to students’ performance in the achievement categories, students will also be assessed on their performance in the following learning skills:</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Responsibility</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Organization</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Independent Work</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Collaboration</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Initiative</w:t>
            </w:r>
          </w:p>
          <w:p w:rsidR="002C0B4F" w:rsidRPr="00811003" w:rsidRDefault="002C0B4F" w:rsidP="00811003">
            <w:pPr>
              <w:numPr>
                <w:ilvl w:val="0"/>
                <w:numId w:val="2"/>
              </w:numPr>
              <w:autoSpaceDE w:val="0"/>
              <w:autoSpaceDN w:val="0"/>
              <w:adjustRightInd w:val="0"/>
              <w:rPr>
                <w:rFonts w:ascii="Arial" w:hAnsi="Arial" w:cs="Arial"/>
                <w:sz w:val="18"/>
                <w:szCs w:val="18"/>
              </w:rPr>
            </w:pPr>
            <w:r w:rsidRPr="00811003">
              <w:rPr>
                <w:rFonts w:ascii="Arial" w:hAnsi="Arial" w:cs="Arial"/>
                <w:sz w:val="18"/>
                <w:szCs w:val="18"/>
              </w:rPr>
              <w:t>Self-Regulation</w:t>
            </w:r>
          </w:p>
          <w:p w:rsidR="002C0B4F" w:rsidRPr="00811003" w:rsidRDefault="002C0B4F" w:rsidP="00811003">
            <w:pPr>
              <w:autoSpaceDE w:val="0"/>
              <w:autoSpaceDN w:val="0"/>
              <w:adjustRightInd w:val="0"/>
              <w:ind w:left="360"/>
              <w:rPr>
                <w:rFonts w:ascii="Arial" w:hAnsi="Arial" w:cs="Arial"/>
                <w:sz w:val="16"/>
                <w:szCs w:val="16"/>
              </w:rPr>
            </w:pPr>
          </w:p>
          <w:p w:rsidR="002C0B4F" w:rsidRPr="00811003" w:rsidRDefault="002C0B4F" w:rsidP="00811003">
            <w:pPr>
              <w:autoSpaceDE w:val="0"/>
              <w:autoSpaceDN w:val="0"/>
              <w:adjustRightInd w:val="0"/>
              <w:rPr>
                <w:rFonts w:ascii="Arial" w:hAnsi="Arial" w:cs="Arial"/>
                <w:sz w:val="18"/>
                <w:szCs w:val="18"/>
              </w:rPr>
            </w:pPr>
            <w:r w:rsidRPr="00811003">
              <w:rPr>
                <w:rFonts w:ascii="Arial" w:hAnsi="Arial" w:cs="Arial"/>
                <w:sz w:val="18"/>
                <w:szCs w:val="18"/>
              </w:rPr>
              <w:t xml:space="preserve">For specific policies on assessment and evaluation, and academic honesty, please refer to </w:t>
            </w:r>
            <w:r w:rsidRPr="00811003">
              <w:rPr>
                <w:rFonts w:ascii="Arial" w:hAnsi="Arial" w:cs="Arial"/>
                <w:i/>
                <w:sz w:val="18"/>
                <w:szCs w:val="18"/>
              </w:rPr>
              <w:t>School Procedure</w:t>
            </w:r>
            <w:r w:rsidRPr="00811003">
              <w:rPr>
                <w:rFonts w:ascii="Arial" w:hAnsi="Arial" w:cs="Arial"/>
                <w:sz w:val="18"/>
                <w:szCs w:val="18"/>
              </w:rPr>
              <w:t>s in the student agenda.</w:t>
            </w:r>
          </w:p>
        </w:tc>
      </w:tr>
      <w:tr w:rsidR="002C0B4F" w:rsidRPr="00811003" w:rsidTr="00811003">
        <w:trPr>
          <w:trHeight w:val="90"/>
          <w:jc w:val="center"/>
        </w:trPr>
        <w:tc>
          <w:tcPr>
            <w:tcW w:w="10998" w:type="dxa"/>
            <w:gridSpan w:val="2"/>
            <w:tcBorders>
              <w:bottom w:val="single" w:sz="4" w:space="0" w:color="auto"/>
            </w:tcBorders>
            <w:shd w:val="clear" w:color="auto" w:fill="auto"/>
          </w:tcPr>
          <w:p w:rsidR="002C0B4F" w:rsidRPr="00811003" w:rsidRDefault="002C0B4F" w:rsidP="00811003">
            <w:pPr>
              <w:autoSpaceDE w:val="0"/>
              <w:autoSpaceDN w:val="0"/>
              <w:adjustRightInd w:val="0"/>
              <w:rPr>
                <w:rFonts w:ascii="Arial" w:hAnsi="Arial" w:cs="Arial"/>
                <w:sz w:val="18"/>
                <w:szCs w:val="18"/>
              </w:rPr>
            </w:pPr>
          </w:p>
        </w:tc>
      </w:tr>
    </w:tbl>
    <w:p w:rsidR="00D52FF7" w:rsidRDefault="00D52FF7"/>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56" w:rsidRDefault="00782656">
      <w:r>
        <w:separator/>
      </w:r>
    </w:p>
  </w:endnote>
  <w:endnote w:type="continuationSeparator" w:id="0">
    <w:p w:rsidR="00782656" w:rsidRDefault="0078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83" w:rsidRDefault="00842183"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183" w:rsidRDefault="00842183"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56" w:rsidRDefault="00782656">
      <w:r>
        <w:separator/>
      </w:r>
    </w:p>
  </w:footnote>
  <w:footnote w:type="continuationSeparator" w:id="0">
    <w:p w:rsidR="00782656" w:rsidRDefault="0078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842183" w:rsidRPr="00811003" w:rsidTr="00811003">
      <w:trPr>
        <w:jc w:val="center"/>
      </w:trPr>
      <w:tc>
        <w:tcPr>
          <w:tcW w:w="2004" w:type="dxa"/>
          <w:tcBorders>
            <w:top w:val="nil"/>
            <w:left w:val="nil"/>
            <w:bottom w:val="nil"/>
            <w:right w:val="nil"/>
          </w:tcBorders>
          <w:shd w:val="clear" w:color="auto" w:fill="auto"/>
        </w:tcPr>
        <w:p w:rsidR="00842183" w:rsidRPr="00811003" w:rsidRDefault="00CC357F"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842183" w:rsidRPr="00811003" w:rsidRDefault="00813A04" w:rsidP="00811003">
          <w:pPr>
            <w:jc w:val="center"/>
            <w:rPr>
              <w:rFonts w:ascii="Arial" w:hAnsi="Arial" w:cs="Arial"/>
              <w:b/>
            </w:rPr>
          </w:pPr>
          <w:r w:rsidRPr="00811003">
            <w:rPr>
              <w:rFonts w:ascii="Arial" w:hAnsi="Arial" w:cs="Arial"/>
              <w:b/>
            </w:rPr>
            <w:t>MHF4U</w:t>
          </w:r>
        </w:p>
        <w:p w:rsidR="00842183" w:rsidRPr="00811003" w:rsidRDefault="00813A04" w:rsidP="00811003">
          <w:pPr>
            <w:jc w:val="center"/>
            <w:rPr>
              <w:rFonts w:ascii="Arial" w:hAnsi="Arial" w:cs="Arial"/>
              <w:b/>
            </w:rPr>
          </w:pPr>
          <w:r w:rsidRPr="00811003">
            <w:rPr>
              <w:rFonts w:ascii="Arial" w:hAnsi="Arial" w:cs="Arial"/>
              <w:b/>
            </w:rPr>
            <w:t>Advanced Functions</w:t>
          </w:r>
        </w:p>
        <w:p w:rsidR="00842183" w:rsidRPr="00811003" w:rsidRDefault="00842183" w:rsidP="00811003">
          <w:pPr>
            <w:jc w:val="center"/>
            <w:rPr>
              <w:rFonts w:ascii="Arial" w:hAnsi="Arial" w:cs="Arial"/>
              <w:b/>
            </w:rPr>
          </w:pPr>
          <w:r w:rsidRPr="00811003">
            <w:rPr>
              <w:rFonts w:ascii="Arial" w:hAnsi="Arial" w:cs="Arial"/>
              <w:b/>
            </w:rPr>
            <w:t xml:space="preserve">Grade </w:t>
          </w:r>
          <w:r w:rsidR="00813A04" w:rsidRPr="00811003">
            <w:rPr>
              <w:rFonts w:ascii="Arial" w:hAnsi="Arial" w:cs="Arial"/>
              <w:b/>
            </w:rPr>
            <w:t>12</w:t>
          </w:r>
          <w:r w:rsidRPr="00811003">
            <w:rPr>
              <w:rFonts w:ascii="Arial" w:hAnsi="Arial" w:cs="Arial"/>
              <w:b/>
            </w:rPr>
            <w:t xml:space="preserve">, </w:t>
          </w:r>
          <w:r w:rsidR="00813A04" w:rsidRPr="00811003">
            <w:rPr>
              <w:rFonts w:ascii="Arial" w:hAnsi="Arial" w:cs="Arial"/>
              <w:b/>
            </w:rPr>
            <w:t>University</w:t>
          </w:r>
        </w:p>
        <w:p w:rsidR="00842183" w:rsidRPr="00811003" w:rsidRDefault="00842183" w:rsidP="00811003">
          <w:pPr>
            <w:jc w:val="center"/>
            <w:rPr>
              <w:rFonts w:ascii="Arial" w:hAnsi="Arial" w:cs="Arial"/>
              <w:b/>
              <w:sz w:val="28"/>
              <w:szCs w:val="28"/>
            </w:rPr>
          </w:pPr>
        </w:p>
      </w:tc>
    </w:tr>
  </w:tbl>
  <w:p w:rsidR="00842183" w:rsidRPr="00C5164E" w:rsidRDefault="00842183"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04"/>
    <w:rsid w:val="000532F9"/>
    <w:rsid w:val="0007528E"/>
    <w:rsid w:val="00131672"/>
    <w:rsid w:val="001904CF"/>
    <w:rsid w:val="001B1F22"/>
    <w:rsid w:val="002530EF"/>
    <w:rsid w:val="00257B30"/>
    <w:rsid w:val="002A1D80"/>
    <w:rsid w:val="002C0B4F"/>
    <w:rsid w:val="002D3854"/>
    <w:rsid w:val="002F1F87"/>
    <w:rsid w:val="004942F7"/>
    <w:rsid w:val="004B5231"/>
    <w:rsid w:val="0054341A"/>
    <w:rsid w:val="00543C95"/>
    <w:rsid w:val="00584CC3"/>
    <w:rsid w:val="006A5F29"/>
    <w:rsid w:val="006A6D61"/>
    <w:rsid w:val="006A7A5B"/>
    <w:rsid w:val="006D0C7F"/>
    <w:rsid w:val="006E786F"/>
    <w:rsid w:val="00721CD2"/>
    <w:rsid w:val="00736B28"/>
    <w:rsid w:val="00782656"/>
    <w:rsid w:val="007F5493"/>
    <w:rsid w:val="00811003"/>
    <w:rsid w:val="00813A04"/>
    <w:rsid w:val="00842183"/>
    <w:rsid w:val="008C27AC"/>
    <w:rsid w:val="00964566"/>
    <w:rsid w:val="009D4711"/>
    <w:rsid w:val="00A00B85"/>
    <w:rsid w:val="00AA523F"/>
    <w:rsid w:val="00AB4812"/>
    <w:rsid w:val="00BC07A2"/>
    <w:rsid w:val="00BD742D"/>
    <w:rsid w:val="00C40D86"/>
    <w:rsid w:val="00C45CEB"/>
    <w:rsid w:val="00C465D3"/>
    <w:rsid w:val="00C5164E"/>
    <w:rsid w:val="00CC357F"/>
    <w:rsid w:val="00D25256"/>
    <w:rsid w:val="00D35674"/>
    <w:rsid w:val="00D52FF7"/>
    <w:rsid w:val="00DF1ED1"/>
    <w:rsid w:val="00DF5FEE"/>
    <w:rsid w:val="00EE43BC"/>
    <w:rsid w:val="00F27546"/>
    <w:rsid w:val="00F55D41"/>
    <w:rsid w:val="00F610B3"/>
    <w:rsid w:val="00F73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Trotta, Grace</cp:lastModifiedBy>
  <cp:revision>2</cp:revision>
  <cp:lastPrinted>2016-09-06T16:46:00Z</cp:lastPrinted>
  <dcterms:created xsi:type="dcterms:W3CDTF">2018-07-09T16:36:00Z</dcterms:created>
  <dcterms:modified xsi:type="dcterms:W3CDTF">2018-07-09T16:36:00Z</dcterms:modified>
</cp:coreProperties>
</file>