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7380"/>
      </w:tblGrid>
      <w:tr w:rsidR="00D52FF7" w:rsidRPr="00932E35" w:rsidTr="00932E35">
        <w:trPr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2FF7" w:rsidRPr="00932E35" w:rsidRDefault="00D52FF7" w:rsidP="00932E35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32E35">
              <w:rPr>
                <w:rFonts w:ascii="Arial" w:hAnsi="Arial" w:cs="Arial"/>
                <w:b/>
                <w:sz w:val="20"/>
                <w:szCs w:val="20"/>
              </w:rPr>
              <w:t xml:space="preserve">General Course Information 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Prerequisite:</w:t>
            </w:r>
          </w:p>
        </w:tc>
        <w:tc>
          <w:tcPr>
            <w:tcW w:w="7380" w:type="dxa"/>
            <w:tcBorders>
              <w:left w:val="nil"/>
              <w:bottom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Teacher: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5224E0" w:rsidP="006071CD">
            <w:pPr>
              <w:rPr>
                <w:rFonts w:ascii="Arial" w:hAnsi="Arial" w:cs="Arial"/>
                <w:sz w:val="20"/>
                <w:szCs w:val="20"/>
              </w:rPr>
            </w:pPr>
            <w:r w:rsidRPr="0081100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416-395-3140 </w:t>
            </w:r>
            <w:r w:rsidRPr="00811003">
              <w:rPr>
                <w:rFonts w:ascii="Arial" w:hAnsi="Arial" w:cs="Arial"/>
                <w:sz w:val="20"/>
                <w:szCs w:val="20"/>
              </w:rPr>
              <w:t>Ext 20080)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6F5F4D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Extra Help: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122B77" w:rsidP="00D5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appointment: Before school, lunch and after school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Textbook and Replacement Cost: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4F306D" w:rsidP="00102C79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Princip</w:t>
            </w:r>
            <w:r w:rsidR="001D3779">
              <w:rPr>
                <w:rFonts w:ascii="Arial" w:hAnsi="Arial" w:cs="Arial"/>
                <w:sz w:val="20"/>
                <w:szCs w:val="20"/>
              </w:rPr>
              <w:t>les of Ma</w:t>
            </w:r>
            <w:r w:rsidR="00102C79">
              <w:rPr>
                <w:rFonts w:ascii="Arial" w:hAnsi="Arial" w:cs="Arial"/>
                <w:sz w:val="20"/>
                <w:szCs w:val="20"/>
              </w:rPr>
              <w:t>thematics 9</w:t>
            </w:r>
            <w:r w:rsidRPr="00932E3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02C79">
              <w:rPr>
                <w:rFonts w:ascii="Arial" w:hAnsi="Arial" w:cs="Arial"/>
                <w:sz w:val="20"/>
                <w:szCs w:val="20"/>
              </w:rPr>
              <w:t>Nelson</w:t>
            </w:r>
            <w:r w:rsidR="00D52FF7" w:rsidRPr="00932E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02C79">
              <w:rPr>
                <w:rFonts w:ascii="Arial" w:hAnsi="Arial" w:cs="Arial"/>
                <w:sz w:val="20"/>
                <w:szCs w:val="20"/>
              </w:rPr>
              <w:t>$10</w:t>
            </w:r>
            <w:r w:rsidR="00941398" w:rsidRPr="00932E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Material Required: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15590A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3-ring binder, calculator, ruler, pencil, graph paper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932E35">
            <w:pPr>
              <w:tabs>
                <w:tab w:val="center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10998" w:type="dxa"/>
            <w:gridSpan w:val="2"/>
            <w:shd w:val="clear" w:color="auto" w:fill="C0C0C0"/>
            <w:vAlign w:val="center"/>
          </w:tcPr>
          <w:p w:rsidR="00D52FF7" w:rsidRPr="00932E35" w:rsidRDefault="00D52FF7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E35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</w:tr>
      <w:tr w:rsidR="00D52FF7" w:rsidRPr="00932E35" w:rsidTr="00932E35">
        <w:trPr>
          <w:jc w:val="center"/>
        </w:trPr>
        <w:tc>
          <w:tcPr>
            <w:tcW w:w="10998" w:type="dxa"/>
            <w:gridSpan w:val="2"/>
            <w:tcBorders>
              <w:bottom w:val="nil"/>
            </w:tcBorders>
            <w:shd w:val="clear" w:color="auto" w:fill="auto"/>
          </w:tcPr>
          <w:p w:rsidR="000A30FF" w:rsidRPr="00F54E5C" w:rsidRDefault="00F54E5C" w:rsidP="00932E35">
            <w:pPr>
              <w:pStyle w:val="Pa2"/>
              <w:spacing w:after="6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54E5C">
              <w:rPr>
                <w:rFonts w:ascii="Times New Roman" w:hAnsi="Times New Roman"/>
                <w:sz w:val="22"/>
                <w:szCs w:val="22"/>
              </w:rPr>
              <w:t>This course enables students to develop an understanding of mathematical concepts related to introductory algebra, proportional reasoning, and measurement and geometry through investigation, the effective use of technology, and hands-on activities. Students will investigate real-life examples to develop various representations of linear relations, and will determine the connections between the representations. They will also explore certain relationships that emerge from the measurement of three-dimensional figures and two-dimensional shapes. Students will consolidate their mathematical skills as they solve problems and communicate their thinking.</w:t>
            </w:r>
          </w:p>
          <w:p w:rsidR="00D52FF7" w:rsidRPr="00932E35" w:rsidRDefault="00D52FF7" w:rsidP="00932E35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27546" w:rsidRPr="00932E35" w:rsidRDefault="004D4D67" w:rsidP="00932E35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2E35">
              <w:rPr>
                <w:rFonts w:ascii="Arial" w:hAnsi="Arial" w:cs="Arial"/>
                <w:sz w:val="18"/>
                <w:szCs w:val="18"/>
              </w:rPr>
              <w:t>http://www.edu.gov.on.ca/eng/curriculum/secondary/math910curr.pdf</w:t>
            </w:r>
          </w:p>
        </w:tc>
      </w:tr>
      <w:tr w:rsidR="00D52FF7" w:rsidRPr="00932E35" w:rsidTr="00932E35">
        <w:trPr>
          <w:jc w:val="center"/>
        </w:trPr>
        <w:tc>
          <w:tcPr>
            <w:tcW w:w="10998" w:type="dxa"/>
            <w:gridSpan w:val="2"/>
            <w:tcBorders>
              <w:top w:val="nil"/>
            </w:tcBorders>
            <w:shd w:val="clear" w:color="auto" w:fill="auto"/>
          </w:tcPr>
          <w:p w:rsidR="00F27546" w:rsidRPr="00932E35" w:rsidRDefault="00F27546" w:rsidP="00D52F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10998" w:type="dxa"/>
            <w:gridSpan w:val="2"/>
            <w:shd w:val="clear" w:color="auto" w:fill="C0C0C0"/>
            <w:vAlign w:val="center"/>
          </w:tcPr>
          <w:p w:rsidR="00D52FF7" w:rsidRPr="00932E35" w:rsidRDefault="00D52FF7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E35">
              <w:rPr>
                <w:rFonts w:ascii="Arial" w:hAnsi="Arial" w:cs="Arial"/>
                <w:b/>
                <w:sz w:val="20"/>
                <w:szCs w:val="20"/>
              </w:rPr>
              <w:t>Assessment and Evaluation</w:t>
            </w:r>
          </w:p>
        </w:tc>
      </w:tr>
      <w:tr w:rsidR="00D52FF7" w:rsidRPr="00932E35" w:rsidTr="00932E35">
        <w:trPr>
          <w:trHeight w:val="90"/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To promote student success, ongoing assessment and feedback will be given regularly to the students.  A variety of assessment and evaluation strat</w:t>
            </w:r>
            <w:r w:rsidR="00C5164E" w:rsidRPr="00932E35">
              <w:rPr>
                <w:rFonts w:ascii="Arial" w:hAnsi="Arial" w:cs="Arial"/>
                <w:sz w:val="20"/>
                <w:szCs w:val="20"/>
              </w:rPr>
              <w:t>e</w:t>
            </w:r>
            <w:r w:rsidRPr="00932E35">
              <w:rPr>
                <w:rFonts w:ascii="Arial" w:hAnsi="Arial" w:cs="Arial"/>
                <w:sz w:val="20"/>
                <w:szCs w:val="20"/>
              </w:rPr>
              <w:t xml:space="preserve">gies will be used in this course, including </w:t>
            </w:r>
            <w:r w:rsidR="00D5735C" w:rsidRPr="00932E35">
              <w:rPr>
                <w:rFonts w:ascii="Arial" w:hAnsi="Arial" w:cs="Arial"/>
                <w:sz w:val="20"/>
                <w:szCs w:val="20"/>
              </w:rPr>
              <w:t>tests, quizzes, group work, and presentations</w:t>
            </w:r>
            <w:r w:rsidRPr="00932E35">
              <w:rPr>
                <w:rFonts w:ascii="Arial" w:hAnsi="Arial" w:cs="Arial"/>
                <w:sz w:val="20"/>
                <w:szCs w:val="20"/>
              </w:rPr>
              <w:t>.  Expectations will be evaluated based on the provincial curriculum expectations and the achievement levels outlined in the ministry document.</w:t>
            </w:r>
          </w:p>
          <w:p w:rsidR="00D52FF7" w:rsidRPr="00932E35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Expectations are organized into four categories of knowledge and skills.  The categories and their corresponding weighting is as follows: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4657"/>
            </w:tblGrid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Knowledge and Understanding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932E35" w:rsidRDefault="00C13971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20 -</w:t>
                  </w:r>
                  <w:r w:rsidR="004F306D"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405A8" w:rsidRPr="00932E35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Thinking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932E35" w:rsidRDefault="00C13971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</w:t>
                  </w:r>
                  <w:r w:rsidR="004F306D"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932E35" w:rsidRDefault="00C13971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9490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Application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932E35" w:rsidRDefault="00C13971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Each student’s final mark will be in the form of a percentage grade based on their achievement in the 4 categories on the achievement chart.  The breakdown of the final mark is as followed: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830"/>
            </w:tblGrid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Term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70%</w:t>
                  </w:r>
                </w:p>
              </w:tc>
            </w:tr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Final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D52FF7" w:rsidRPr="00932E35" w:rsidRDefault="00F54E5C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</w:tr>
            <w:tr w:rsidR="00F54E5C" w:rsidRPr="00932E35" w:rsidTr="00F8026A">
              <w:tc>
                <w:tcPr>
                  <w:tcW w:w="3632" w:type="dxa"/>
                  <w:shd w:val="clear" w:color="auto" w:fill="auto"/>
                </w:tcPr>
                <w:p w:rsidR="00F54E5C" w:rsidRPr="00932E35" w:rsidRDefault="00F54E5C" w:rsidP="00F802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EQAO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F54E5C" w:rsidRPr="00932E35" w:rsidRDefault="00F54E5C" w:rsidP="00F802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</w:tr>
          </w:tbl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The final Evaluation will be completed during the final 6 weeks of the course and may include a variety of summative activities including an exam, a presentation, a seminar, or an essay or another writing assignment.</w:t>
            </w: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In addition to students’ performance in the achievement categories, students will also be assessed on their performance in the following learning skills: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Responsibility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Independent Work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Self-Regulation</w:t>
            </w: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 xml:space="preserve">For specific policies on assessment and evaluation, and academic honesty, please </w:t>
            </w:r>
            <w:r w:rsidR="001904CF" w:rsidRPr="00932E35">
              <w:rPr>
                <w:rFonts w:ascii="Arial" w:hAnsi="Arial" w:cs="Arial"/>
                <w:sz w:val="20"/>
                <w:szCs w:val="20"/>
              </w:rPr>
              <w:t>refer</w:t>
            </w:r>
            <w:r w:rsidR="00BC07A2" w:rsidRPr="00932E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932E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E35">
              <w:rPr>
                <w:rFonts w:ascii="Arial" w:hAnsi="Arial" w:cs="Arial"/>
                <w:i/>
                <w:sz w:val="20"/>
                <w:szCs w:val="20"/>
              </w:rPr>
              <w:t>School Procedure</w:t>
            </w:r>
            <w:r w:rsidRPr="00932E35">
              <w:rPr>
                <w:rFonts w:ascii="Arial" w:hAnsi="Arial" w:cs="Arial"/>
                <w:sz w:val="20"/>
                <w:szCs w:val="20"/>
              </w:rPr>
              <w:t>s in the student agenda.</w:t>
            </w:r>
          </w:p>
        </w:tc>
      </w:tr>
    </w:tbl>
    <w:p w:rsidR="001904CF" w:rsidRDefault="001904CF"/>
    <w:p w:rsidR="006071CD" w:rsidRDefault="006071CD"/>
    <w:p w:rsidR="006071CD" w:rsidRDefault="006071CD">
      <w:r w:rsidRPr="00932E35">
        <w:rPr>
          <w:rFonts w:ascii="Arial" w:hAnsi="Arial" w:cs="Arial"/>
          <w:b/>
          <w:sz w:val="18"/>
          <w:szCs w:val="18"/>
          <w:u w:val="single"/>
        </w:rPr>
        <w:lastRenderedPageBreak/>
        <w:t>The course is organized into the following strands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1904CF" w:rsidRDefault="001904CF"/>
    <w:tbl>
      <w:tblPr>
        <w:tblpPr w:leftFromText="180" w:rightFromText="180" w:vertAnchor="text" w:horzAnchor="margin" w:tblpY="11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6071CD" w:rsidRPr="00673D34" w:rsidTr="006071CD">
        <w:trPr>
          <w:trHeight w:val="501"/>
        </w:trPr>
        <w:tc>
          <w:tcPr>
            <w:tcW w:w="10368" w:type="dxa"/>
            <w:vAlign w:val="center"/>
          </w:tcPr>
          <w:p w:rsidR="006071CD" w:rsidRPr="00CF0DCC" w:rsidRDefault="006071CD" w:rsidP="006071CD">
            <w:pPr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  <w:r w:rsidRPr="00CF0DCC">
              <w:rPr>
                <w:rFonts w:ascii="Times" w:hAnsi="Times"/>
                <w:b/>
              </w:rPr>
              <w:t>Number Sense and Algebra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•</w:t>
            </w:r>
            <w:r w:rsidRPr="00673D34">
              <w:rPr>
                <w:rFonts w:ascii="Verdana" w:hAnsi="Verdana"/>
              </w:rPr>
              <w:t xml:space="preserve"> </w:t>
            </w:r>
            <w:r w:rsidRPr="00673D34">
              <w:rPr>
                <w:rFonts w:ascii="Verdana" w:hAnsi="Verdana"/>
                <w:sz w:val="18"/>
              </w:rPr>
              <w:t>Operating with Exponents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73D34">
              <w:rPr>
                <w:rFonts w:ascii="Verdana" w:hAnsi="Verdana"/>
                <w:sz w:val="18"/>
              </w:rPr>
              <w:t>• Manipulating Expressions and Solving Equations</w:t>
            </w:r>
          </w:p>
        </w:tc>
      </w:tr>
      <w:tr w:rsidR="006071CD" w:rsidRPr="00673D34" w:rsidTr="006071CD">
        <w:trPr>
          <w:trHeight w:val="501"/>
        </w:trPr>
        <w:tc>
          <w:tcPr>
            <w:tcW w:w="10368" w:type="dxa"/>
            <w:vAlign w:val="center"/>
          </w:tcPr>
          <w:p w:rsidR="006071CD" w:rsidRPr="00CF0DCC" w:rsidRDefault="006071CD" w:rsidP="006071CD">
            <w:pPr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  <w:r w:rsidRPr="00CF0DCC">
              <w:rPr>
                <w:rFonts w:ascii="Times" w:hAnsi="Times"/>
                <w:b/>
              </w:rPr>
              <w:t>Linear Relations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• Using Data Management to Investigate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Relationships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• Understanding Characteristics of Linear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Relations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73D34">
              <w:rPr>
                <w:rFonts w:ascii="Verdana" w:hAnsi="Verdana"/>
                <w:sz w:val="18"/>
              </w:rPr>
              <w:t>• Connecting Various Representations of Linear Relations</w:t>
            </w:r>
          </w:p>
        </w:tc>
      </w:tr>
      <w:tr w:rsidR="006071CD" w:rsidRPr="00673D34" w:rsidTr="006071CD">
        <w:trPr>
          <w:trHeight w:val="501"/>
        </w:trPr>
        <w:tc>
          <w:tcPr>
            <w:tcW w:w="10368" w:type="dxa"/>
            <w:vAlign w:val="center"/>
          </w:tcPr>
          <w:p w:rsidR="006071CD" w:rsidRPr="00CF0DCC" w:rsidRDefault="006071CD" w:rsidP="006071CD">
            <w:pPr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  <w:r w:rsidRPr="00CF0DCC">
              <w:rPr>
                <w:rFonts w:ascii="Times" w:hAnsi="Times"/>
                <w:b/>
              </w:rPr>
              <w:t>Analytic Geometry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•</w:t>
            </w:r>
            <w:r w:rsidRPr="00673D34">
              <w:rPr>
                <w:rFonts w:ascii="Verdana" w:hAnsi="Verdana"/>
              </w:rPr>
              <w:t xml:space="preserve"> </w:t>
            </w:r>
            <w:r w:rsidRPr="00673D34">
              <w:rPr>
                <w:rFonts w:ascii="Verdana" w:hAnsi="Verdana"/>
                <w:sz w:val="18"/>
              </w:rPr>
              <w:t>Investigating the Relationship Between the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Equation of a Relation and the Shape of Its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Graph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• Investigating the Properties of Slope</w:t>
            </w:r>
          </w:p>
          <w:p w:rsidR="006071CD" w:rsidRPr="00673D34" w:rsidRDefault="006071CD" w:rsidP="006071CD">
            <w:pPr>
              <w:rPr>
                <w:rFonts w:ascii="Verdana" w:hAnsi="Verdana"/>
              </w:rPr>
            </w:pPr>
            <w:r w:rsidRPr="00673D34">
              <w:rPr>
                <w:rFonts w:ascii="Verdana" w:hAnsi="Verdana"/>
                <w:sz w:val="18"/>
              </w:rPr>
              <w:t>• Using the Properties of Linear Relations to Solve Problems</w:t>
            </w:r>
          </w:p>
        </w:tc>
      </w:tr>
      <w:tr w:rsidR="006071CD" w:rsidRPr="00673D34" w:rsidTr="006071CD">
        <w:trPr>
          <w:trHeight w:val="501"/>
        </w:trPr>
        <w:tc>
          <w:tcPr>
            <w:tcW w:w="10368" w:type="dxa"/>
            <w:vAlign w:val="center"/>
          </w:tcPr>
          <w:p w:rsidR="006071CD" w:rsidRPr="00CF0DCC" w:rsidRDefault="006071CD" w:rsidP="006071CD">
            <w:pPr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  <w:r w:rsidRPr="00CF0DCC">
              <w:rPr>
                <w:rFonts w:ascii="Times" w:hAnsi="Times"/>
                <w:b/>
              </w:rPr>
              <w:t>Measurement and Geometry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•</w:t>
            </w:r>
            <w:r w:rsidRPr="00673D34">
              <w:rPr>
                <w:rFonts w:ascii="Verdana" w:hAnsi="Verdana"/>
              </w:rPr>
              <w:t xml:space="preserve"> </w:t>
            </w:r>
            <w:r w:rsidRPr="00673D34">
              <w:rPr>
                <w:rFonts w:ascii="Verdana" w:hAnsi="Verdana"/>
                <w:sz w:val="18"/>
              </w:rPr>
              <w:t>Investigating the Optimal Values of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Measurements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• Solving Problems Involving Perimeter, Area, Surface Area, and Volume</w:t>
            </w:r>
          </w:p>
          <w:p w:rsidR="006071CD" w:rsidRPr="00673D34" w:rsidRDefault="006071CD" w:rsidP="006071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73D34">
              <w:rPr>
                <w:rFonts w:ascii="Verdana" w:hAnsi="Verdana"/>
                <w:sz w:val="18"/>
              </w:rPr>
              <w:t>• Investigating and Applying Geometric</w:t>
            </w:r>
          </w:p>
          <w:p w:rsidR="006071CD" w:rsidRPr="00673D34" w:rsidRDefault="006071CD" w:rsidP="006071CD">
            <w:pPr>
              <w:rPr>
                <w:rFonts w:ascii="Verdana" w:hAnsi="Verdana"/>
              </w:rPr>
            </w:pPr>
            <w:r w:rsidRPr="00673D34">
              <w:rPr>
                <w:rFonts w:ascii="Verdana" w:hAnsi="Verdana"/>
                <w:sz w:val="18"/>
              </w:rPr>
              <w:t>Relationships</w:t>
            </w:r>
          </w:p>
        </w:tc>
      </w:tr>
    </w:tbl>
    <w:p w:rsidR="001904CF" w:rsidRDefault="001904CF"/>
    <w:p w:rsidR="001904CF" w:rsidRDefault="001904CF"/>
    <w:p w:rsidR="00D52FF7" w:rsidRDefault="00D52FF7"/>
    <w:sectPr w:rsidR="00D52FF7" w:rsidSect="00D52FF7">
      <w:headerReference w:type="default" r:id="rId8"/>
      <w:footerReference w:type="even" r:id="rId9"/>
      <w:pgSz w:w="12240" w:h="15840"/>
      <w:pgMar w:top="576" w:right="720" w:bottom="835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2B" w:rsidRDefault="00C0322B">
      <w:r>
        <w:separator/>
      </w:r>
    </w:p>
  </w:endnote>
  <w:endnote w:type="continuationSeparator" w:id="0">
    <w:p w:rsidR="00C0322B" w:rsidRDefault="00C0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A4" w:rsidRDefault="006A6CA4" w:rsidP="00736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CA4" w:rsidRDefault="006A6CA4" w:rsidP="007F5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2B" w:rsidRDefault="00C0322B">
      <w:r>
        <w:separator/>
      </w:r>
    </w:p>
  </w:footnote>
  <w:footnote w:type="continuationSeparator" w:id="0">
    <w:p w:rsidR="00C0322B" w:rsidRDefault="00C0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4"/>
      <w:gridCol w:w="8994"/>
    </w:tblGrid>
    <w:tr w:rsidR="006A6CA4" w:rsidRPr="00932E35" w:rsidTr="00932E35">
      <w:trPr>
        <w:jc w:val="center"/>
      </w:trPr>
      <w:tc>
        <w:tcPr>
          <w:tcW w:w="20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A6CA4" w:rsidRPr="00932E35" w:rsidRDefault="00C11B44" w:rsidP="002D3854">
          <w:pPr>
            <w:rPr>
              <w:rFonts w:ascii="Arabia" w:hAnsi="Arabia"/>
              <w:b/>
              <w:sz w:val="56"/>
            </w:rPr>
          </w:pPr>
          <w:r>
            <w:rPr>
              <w:rFonts w:ascii="Arabia" w:hAnsi="Arabia"/>
              <w:b/>
              <w:noProof/>
              <w:sz w:val="56"/>
            </w:rPr>
            <w:drawing>
              <wp:inline distT="0" distB="0" distL="0" distR="0">
                <wp:extent cx="923925" cy="790575"/>
                <wp:effectExtent l="0" t="0" r="9525" b="9525"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A6CA4" w:rsidRPr="00932E35" w:rsidRDefault="006A6CA4" w:rsidP="00932E35">
          <w:pPr>
            <w:jc w:val="center"/>
            <w:rPr>
              <w:rFonts w:ascii="Arial" w:hAnsi="Arial" w:cs="Arial"/>
              <w:b/>
            </w:rPr>
          </w:pPr>
          <w:r w:rsidRPr="00932E35">
            <w:rPr>
              <w:rFonts w:ascii="Arial" w:hAnsi="Arial" w:cs="Arial"/>
              <w:b/>
            </w:rPr>
            <w:t>MP</w:t>
          </w:r>
          <w:r w:rsidR="00A96E92">
            <w:rPr>
              <w:rFonts w:ascii="Arial" w:hAnsi="Arial" w:cs="Arial"/>
              <w:b/>
            </w:rPr>
            <w:t>M1</w:t>
          </w:r>
          <w:r w:rsidRPr="00932E35">
            <w:rPr>
              <w:rFonts w:ascii="Arial" w:hAnsi="Arial" w:cs="Arial"/>
              <w:b/>
            </w:rPr>
            <w:t>D</w:t>
          </w:r>
        </w:p>
        <w:p w:rsidR="006A6CA4" w:rsidRPr="00932E35" w:rsidRDefault="008B41B0" w:rsidP="00932E35">
          <w:pPr>
            <w:jc w:val="center"/>
            <w:rPr>
              <w:rFonts w:ascii="Arial" w:hAnsi="Arial" w:cs="Arial"/>
              <w:b/>
            </w:rPr>
          </w:pPr>
          <w:r w:rsidRPr="00932E35">
            <w:rPr>
              <w:rFonts w:ascii="Arial" w:hAnsi="Arial" w:cs="Arial"/>
              <w:b/>
            </w:rPr>
            <w:t>Principles of Mathematics</w:t>
          </w:r>
        </w:p>
        <w:p w:rsidR="006A6CA4" w:rsidRPr="00932E35" w:rsidRDefault="00102C79" w:rsidP="00932E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Grade 9</w:t>
          </w:r>
          <w:r w:rsidR="006A6CA4" w:rsidRPr="00932E35">
            <w:rPr>
              <w:rFonts w:ascii="Arial" w:hAnsi="Arial" w:cs="Arial"/>
              <w:b/>
            </w:rPr>
            <w:t xml:space="preserve">, </w:t>
          </w:r>
          <w:r>
            <w:rPr>
              <w:rFonts w:ascii="Arial" w:hAnsi="Arial" w:cs="Arial"/>
              <w:b/>
            </w:rPr>
            <w:t>Academic</w:t>
          </w:r>
        </w:p>
        <w:p w:rsidR="006A6CA4" w:rsidRPr="00932E35" w:rsidRDefault="006A6CA4" w:rsidP="00A85E3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6A6CA4" w:rsidRPr="00C5164E" w:rsidRDefault="006A6CA4" w:rsidP="00C5164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C1"/>
    <w:multiLevelType w:val="hybridMultilevel"/>
    <w:tmpl w:val="1B366590"/>
    <w:lvl w:ilvl="0" w:tplc="FF921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72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1">
    <w:nsid w:val="1ABE194F"/>
    <w:multiLevelType w:val="hybridMultilevel"/>
    <w:tmpl w:val="67D4A1F2"/>
    <w:lvl w:ilvl="0" w:tplc="FF921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72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4D"/>
    <w:rsid w:val="000033CE"/>
    <w:rsid w:val="00007B12"/>
    <w:rsid w:val="00030361"/>
    <w:rsid w:val="0007528E"/>
    <w:rsid w:val="00076F8E"/>
    <w:rsid w:val="000A30FF"/>
    <w:rsid w:val="00102C79"/>
    <w:rsid w:val="00122B77"/>
    <w:rsid w:val="0015590A"/>
    <w:rsid w:val="001904CF"/>
    <w:rsid w:val="001B7C97"/>
    <w:rsid w:val="001D3779"/>
    <w:rsid w:val="00201D2E"/>
    <w:rsid w:val="002D3854"/>
    <w:rsid w:val="002F1F87"/>
    <w:rsid w:val="00385D59"/>
    <w:rsid w:val="003C2568"/>
    <w:rsid w:val="003D54E1"/>
    <w:rsid w:val="004B3348"/>
    <w:rsid w:val="004D4D67"/>
    <w:rsid w:val="004F306D"/>
    <w:rsid w:val="005224E0"/>
    <w:rsid w:val="00543C95"/>
    <w:rsid w:val="00553542"/>
    <w:rsid w:val="00560865"/>
    <w:rsid w:val="005B6C15"/>
    <w:rsid w:val="005F2C32"/>
    <w:rsid w:val="006071CD"/>
    <w:rsid w:val="0066467C"/>
    <w:rsid w:val="00672DA2"/>
    <w:rsid w:val="006757EE"/>
    <w:rsid w:val="00694783"/>
    <w:rsid w:val="006A6CA4"/>
    <w:rsid w:val="006F5F4D"/>
    <w:rsid w:val="00721CD2"/>
    <w:rsid w:val="00736B28"/>
    <w:rsid w:val="00741319"/>
    <w:rsid w:val="007753F1"/>
    <w:rsid w:val="007832B0"/>
    <w:rsid w:val="00787E31"/>
    <w:rsid w:val="007F5493"/>
    <w:rsid w:val="00840D50"/>
    <w:rsid w:val="00842183"/>
    <w:rsid w:val="00881BC5"/>
    <w:rsid w:val="00896DA3"/>
    <w:rsid w:val="008B41B0"/>
    <w:rsid w:val="008B4B14"/>
    <w:rsid w:val="00932E35"/>
    <w:rsid w:val="00941398"/>
    <w:rsid w:val="00943707"/>
    <w:rsid w:val="00953B9B"/>
    <w:rsid w:val="009A52D0"/>
    <w:rsid w:val="00A85E34"/>
    <w:rsid w:val="00A96E92"/>
    <w:rsid w:val="00AA2B07"/>
    <w:rsid w:val="00AB4812"/>
    <w:rsid w:val="00AC3633"/>
    <w:rsid w:val="00AD760D"/>
    <w:rsid w:val="00B42BD6"/>
    <w:rsid w:val="00B64C3A"/>
    <w:rsid w:val="00B74747"/>
    <w:rsid w:val="00BA4F68"/>
    <w:rsid w:val="00BC07A2"/>
    <w:rsid w:val="00BD6395"/>
    <w:rsid w:val="00C006AC"/>
    <w:rsid w:val="00C0322B"/>
    <w:rsid w:val="00C11B44"/>
    <w:rsid w:val="00C13971"/>
    <w:rsid w:val="00C40D86"/>
    <w:rsid w:val="00C45CEB"/>
    <w:rsid w:val="00C5164E"/>
    <w:rsid w:val="00CD13B6"/>
    <w:rsid w:val="00D405A8"/>
    <w:rsid w:val="00D52FF7"/>
    <w:rsid w:val="00D5735C"/>
    <w:rsid w:val="00D85666"/>
    <w:rsid w:val="00DF5059"/>
    <w:rsid w:val="00DF72ED"/>
    <w:rsid w:val="00E02325"/>
    <w:rsid w:val="00E207F0"/>
    <w:rsid w:val="00E22723"/>
    <w:rsid w:val="00ED6D98"/>
    <w:rsid w:val="00F16813"/>
    <w:rsid w:val="00F27546"/>
    <w:rsid w:val="00F3359A"/>
    <w:rsid w:val="00F54E5C"/>
    <w:rsid w:val="00F8026A"/>
    <w:rsid w:val="00F9490A"/>
    <w:rsid w:val="00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493"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  <w:style w:type="paragraph" w:customStyle="1" w:styleId="Pa2">
    <w:name w:val="Pa2"/>
    <w:basedOn w:val="Normal"/>
    <w:next w:val="Normal"/>
    <w:rsid w:val="000A30FF"/>
    <w:pPr>
      <w:autoSpaceDE w:val="0"/>
      <w:autoSpaceDN w:val="0"/>
      <w:adjustRightInd w:val="0"/>
      <w:spacing w:line="231" w:lineRule="atLeast"/>
    </w:pPr>
    <w:rPr>
      <w:rFonts w:ascii="Bembo" w:hAnsi="Bem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493"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  <w:style w:type="paragraph" w:customStyle="1" w:styleId="Pa2">
    <w:name w:val="Pa2"/>
    <w:basedOn w:val="Normal"/>
    <w:next w:val="Normal"/>
    <w:rsid w:val="000A30FF"/>
    <w:pPr>
      <w:autoSpaceDE w:val="0"/>
      <w:autoSpaceDN w:val="0"/>
      <w:adjustRightInd w:val="0"/>
      <w:spacing w:line="231" w:lineRule="atLeast"/>
    </w:pPr>
    <w:rPr>
      <w:rFonts w:ascii="Bembo" w:hAnsi="Bem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Trotta, Grace</cp:lastModifiedBy>
  <cp:revision>2</cp:revision>
  <cp:lastPrinted>2016-02-01T16:16:00Z</cp:lastPrinted>
  <dcterms:created xsi:type="dcterms:W3CDTF">2018-07-09T16:37:00Z</dcterms:created>
  <dcterms:modified xsi:type="dcterms:W3CDTF">2018-07-09T16:37:00Z</dcterms:modified>
</cp:coreProperties>
</file>