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4B" w:rsidRDefault="00CA6B27" w:rsidP="002E25A5">
      <w:pPr>
        <w:shd w:val="clear" w:color="auto" w:fill="FFFFFF" w:themeFill="background1"/>
        <w:jc w:val="center"/>
        <w:rPr>
          <w:rFonts w:ascii="Eras Bold ITC" w:hAnsi="Eras Bold ITC" w:cs="Aharoni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ascii="Eras Bold ITC" w:hAnsi="Eras Bold ITC" w:cs="Aharoni"/>
          <w:b/>
          <w:sz w:val="44"/>
          <w:szCs w:val="44"/>
          <w:lang w:val="en-US"/>
        </w:rPr>
        <w:t>SIR OLIVER MOWAT</w:t>
      </w:r>
      <w:r w:rsidRPr="00AC26AF">
        <w:rPr>
          <w:rFonts w:ascii="Eras Bold ITC" w:hAnsi="Eras Bold ITC" w:cs="Aharoni"/>
          <w:b/>
          <w:sz w:val="44"/>
          <w:szCs w:val="44"/>
          <w:lang w:val="en-US"/>
        </w:rPr>
        <w:t xml:space="preserve"> C.I. </w:t>
      </w:r>
      <w:r w:rsidR="00576B34">
        <w:rPr>
          <w:rFonts w:ascii="Eras Bold ITC" w:hAnsi="Eras Bold ITC" w:cs="Aharoni"/>
          <w:b/>
          <w:sz w:val="44"/>
          <w:szCs w:val="44"/>
          <w:lang w:val="en-US"/>
        </w:rPr>
        <w:t>6</w:t>
      </w:r>
      <w:r w:rsidR="00C71641" w:rsidRPr="00C71641">
        <w:rPr>
          <w:rFonts w:ascii="Eras Bold ITC" w:hAnsi="Eras Bold ITC" w:cs="Aharoni"/>
          <w:b/>
          <w:sz w:val="44"/>
          <w:szCs w:val="44"/>
          <w:vertAlign w:val="superscript"/>
          <w:lang w:val="en-US"/>
        </w:rPr>
        <w:t>th</w:t>
      </w:r>
      <w:r w:rsidR="00C71641">
        <w:rPr>
          <w:rFonts w:ascii="Eras Bold ITC" w:hAnsi="Eras Bold ITC" w:cs="Aharoni"/>
          <w:b/>
          <w:sz w:val="44"/>
          <w:szCs w:val="44"/>
          <w:lang w:val="en-US"/>
        </w:rPr>
        <w:t xml:space="preserve"> </w:t>
      </w:r>
      <w:r w:rsidR="0043334B">
        <w:rPr>
          <w:rFonts w:ascii="Eras Bold ITC" w:hAnsi="Eras Bold ITC" w:cs="Aharoni"/>
          <w:b/>
          <w:sz w:val="44"/>
          <w:szCs w:val="44"/>
          <w:lang w:val="en-US"/>
        </w:rPr>
        <w:t xml:space="preserve">Annual </w:t>
      </w:r>
    </w:p>
    <w:p w:rsidR="003A724C" w:rsidRPr="00AC26AF" w:rsidRDefault="00CA6B27" w:rsidP="002E25A5">
      <w:pPr>
        <w:shd w:val="clear" w:color="auto" w:fill="FFFFFF" w:themeFill="background1"/>
        <w:jc w:val="center"/>
        <w:rPr>
          <w:rFonts w:ascii="Eras Bold ITC" w:hAnsi="Eras Bold ITC" w:cs="Aharoni"/>
          <w:b/>
          <w:sz w:val="44"/>
          <w:szCs w:val="44"/>
          <w:lang w:val="en-US"/>
        </w:rPr>
      </w:pPr>
      <w:r>
        <w:rPr>
          <w:rFonts w:ascii="Eras Bold ITC" w:hAnsi="Eras Bold ITC" w:cs="Aharoni"/>
          <w:b/>
          <w:sz w:val="44"/>
          <w:szCs w:val="44"/>
          <w:lang w:val="en-US"/>
        </w:rPr>
        <w:t xml:space="preserve">POST-SECONDARY </w:t>
      </w:r>
    </w:p>
    <w:p w:rsidR="006076A6" w:rsidRPr="00AC26AF" w:rsidRDefault="006076A6" w:rsidP="002E25A5">
      <w:pPr>
        <w:shd w:val="clear" w:color="auto" w:fill="FFFFFF" w:themeFill="background1"/>
        <w:jc w:val="center"/>
        <w:rPr>
          <w:rFonts w:ascii="Eras Bold ITC" w:hAnsi="Eras Bold ITC" w:cs="Aharoni"/>
          <w:b/>
          <w:sz w:val="44"/>
          <w:szCs w:val="44"/>
          <w:lang w:val="en-US"/>
        </w:rPr>
      </w:pPr>
      <w:r w:rsidRPr="00AC26AF">
        <w:rPr>
          <w:rFonts w:ascii="Eras Bold ITC" w:hAnsi="Eras Bold ITC" w:cs="Aharoni"/>
          <w:b/>
          <w:sz w:val="44"/>
          <w:szCs w:val="44"/>
          <w:lang w:val="en-US"/>
        </w:rPr>
        <w:t>INFORMATION NIGHT</w:t>
      </w:r>
    </w:p>
    <w:p w:rsidR="006076A6" w:rsidRPr="008E0322" w:rsidRDefault="006076A6" w:rsidP="002E25A5">
      <w:pPr>
        <w:shd w:val="clear" w:color="auto" w:fill="FFFFFF" w:themeFill="background1"/>
        <w:jc w:val="center"/>
        <w:rPr>
          <w:rFonts w:ascii="Eras Bold ITC" w:hAnsi="Eras Bold ITC" w:cs="Aharoni"/>
          <w:sz w:val="36"/>
          <w:szCs w:val="36"/>
          <w:lang w:val="en-US"/>
        </w:rPr>
      </w:pPr>
      <w:r w:rsidRPr="008E0322">
        <w:rPr>
          <w:rFonts w:ascii="Eras Bold ITC" w:hAnsi="Eras Bold ITC" w:cs="Aharoni"/>
          <w:sz w:val="36"/>
          <w:szCs w:val="36"/>
          <w:lang w:val="en-US"/>
        </w:rPr>
        <w:t>FOR STUDENTS &amp; PARENTS</w:t>
      </w:r>
    </w:p>
    <w:p w:rsidR="003A724C" w:rsidRPr="008E0322" w:rsidRDefault="00576B34" w:rsidP="002E25A5">
      <w:pPr>
        <w:shd w:val="clear" w:color="auto" w:fill="FFFFFF" w:themeFill="background1"/>
        <w:jc w:val="center"/>
        <w:rPr>
          <w:rFonts w:ascii="Trebuchet MS" w:hAnsi="Trebuchet MS" w:cs="Aharoni"/>
          <w:b/>
          <w:sz w:val="32"/>
          <w:szCs w:val="32"/>
          <w:lang w:val="en-US"/>
        </w:rPr>
      </w:pPr>
      <w:r>
        <w:rPr>
          <w:rFonts w:ascii="Trebuchet MS" w:hAnsi="Trebuchet MS" w:cs="Aharoni"/>
          <w:b/>
          <w:sz w:val="32"/>
          <w:szCs w:val="32"/>
          <w:lang w:val="en-US"/>
        </w:rPr>
        <w:t>Wednesday November 8</w:t>
      </w:r>
      <w:r w:rsidRPr="00576B34">
        <w:rPr>
          <w:rFonts w:ascii="Trebuchet MS" w:hAnsi="Trebuchet MS" w:cs="Aharoni"/>
          <w:b/>
          <w:sz w:val="32"/>
          <w:szCs w:val="32"/>
          <w:vertAlign w:val="superscript"/>
          <w:lang w:val="en-US"/>
        </w:rPr>
        <w:t>th</w:t>
      </w:r>
      <w:r>
        <w:rPr>
          <w:rFonts w:ascii="Trebuchet MS" w:hAnsi="Trebuchet MS" w:cs="Aharoni"/>
          <w:b/>
          <w:sz w:val="32"/>
          <w:szCs w:val="32"/>
          <w:lang w:val="en-US"/>
        </w:rPr>
        <w:t>, 2017</w:t>
      </w:r>
    </w:p>
    <w:p w:rsidR="0043334B" w:rsidRPr="00ED4295" w:rsidRDefault="00ED4295" w:rsidP="002E25A5">
      <w:pPr>
        <w:shd w:val="clear" w:color="auto" w:fill="FFFFFF" w:themeFill="background1"/>
        <w:jc w:val="center"/>
        <w:rPr>
          <w:rFonts w:ascii="Trebuchet MS" w:hAnsi="Trebuchet MS" w:cs="Aharoni"/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CA"/>
        </w:rPr>
        <w:drawing>
          <wp:inline distT="0" distB="0" distL="0" distR="0" wp14:anchorId="103EE867" wp14:editId="1091EC0E">
            <wp:extent cx="2857500" cy="1569720"/>
            <wp:effectExtent l="0" t="0" r="0" b="0"/>
            <wp:docPr id="2" name="Picture 2" descr="http://tse1.mm.bing.net/th?&amp;id=OIP.M9082592798cf5ad4320de20bd1a2230do0&amp;w=300&amp;h=165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082592798cf5ad4320de20bd1a2230do0&amp;w=300&amp;h=165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5" w:rsidRPr="0043334B" w:rsidRDefault="006076A6" w:rsidP="0043334B">
      <w:pPr>
        <w:shd w:val="clear" w:color="auto" w:fill="FFFFFF" w:themeFill="background1"/>
        <w:jc w:val="center"/>
        <w:rPr>
          <w:rFonts w:ascii="Trebuchet MS" w:hAnsi="Trebuchet MS" w:cs="Aharoni"/>
          <w:b/>
          <w:sz w:val="32"/>
          <w:szCs w:val="32"/>
          <w:lang w:val="en-US"/>
        </w:rPr>
      </w:pPr>
      <w:r w:rsidRPr="008E0322">
        <w:rPr>
          <w:rFonts w:ascii="Trebuchet MS" w:hAnsi="Trebuchet MS" w:cs="Aharoni"/>
          <w:b/>
          <w:sz w:val="32"/>
          <w:szCs w:val="32"/>
          <w:lang w:val="en-US"/>
        </w:rPr>
        <w:t>6:30 – 8:30 p.m.</w:t>
      </w:r>
      <w:r w:rsidR="0043334B" w:rsidRPr="0043334B">
        <w:rPr>
          <w:rFonts w:ascii="Calibri" w:hAnsi="Calibri" w:cs="Aharoni"/>
          <w:b/>
          <w:noProof/>
          <w:sz w:val="56"/>
          <w:szCs w:val="56"/>
          <w:lang w:eastAsia="en-CA"/>
        </w:rPr>
        <w:t xml:space="preserve"> </w:t>
      </w:r>
    </w:p>
    <w:p w:rsidR="00E243ED" w:rsidRDefault="00E243ED" w:rsidP="00032324">
      <w:pPr>
        <w:ind w:firstLine="720"/>
        <w:rPr>
          <w:rFonts w:ascii="Century Gothic" w:hAnsi="Century Gothic" w:cs="Calibri"/>
          <w:sz w:val="24"/>
          <w:szCs w:val="24"/>
          <w:lang w:val="en-US"/>
        </w:rPr>
      </w:pPr>
      <w:r>
        <w:rPr>
          <w:rFonts w:ascii="Century Gothic" w:hAnsi="Century Gothic" w:cs="Calibri"/>
          <w:sz w:val="24"/>
          <w:szCs w:val="24"/>
          <w:lang w:val="en-US"/>
        </w:rPr>
        <w:t>You are invited to join us for an informative evening regarding post-secondary education.</w:t>
      </w:r>
    </w:p>
    <w:p w:rsidR="006076A6" w:rsidRPr="006076A6" w:rsidRDefault="006076A6" w:rsidP="00032324">
      <w:pPr>
        <w:ind w:firstLine="360"/>
        <w:rPr>
          <w:rFonts w:ascii="Century Gothic" w:hAnsi="Century Gothic" w:cs="Calibri"/>
          <w:sz w:val="24"/>
          <w:szCs w:val="24"/>
          <w:lang w:val="en-US"/>
        </w:rPr>
      </w:pPr>
      <w:r w:rsidRPr="006076A6">
        <w:rPr>
          <w:rFonts w:ascii="Century Gothic" w:hAnsi="Century Gothic" w:cs="Calibri"/>
          <w:sz w:val="24"/>
          <w:szCs w:val="24"/>
          <w:lang w:val="en-US"/>
        </w:rPr>
        <w:t>The evening will consist of a panel presentation in the auditorium</w:t>
      </w:r>
      <w:r w:rsidR="00E74813">
        <w:rPr>
          <w:rFonts w:ascii="Century Gothic" w:hAnsi="Century Gothic" w:cs="Calibri"/>
          <w:sz w:val="24"/>
          <w:szCs w:val="24"/>
          <w:lang w:val="en-US"/>
        </w:rPr>
        <w:t xml:space="preserve"> starting at 6:30 p.m. </w:t>
      </w:r>
      <w:r w:rsidRPr="006076A6">
        <w:rPr>
          <w:rFonts w:ascii="Century Gothic" w:hAnsi="Century Gothic" w:cs="Calibri"/>
          <w:sz w:val="24"/>
          <w:szCs w:val="24"/>
          <w:lang w:val="en-US"/>
        </w:rPr>
        <w:t>with representatives from:</w:t>
      </w:r>
    </w:p>
    <w:p w:rsidR="00ED4295" w:rsidRDefault="00ED4295" w:rsidP="00ED4295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4"/>
          <w:szCs w:val="24"/>
          <w:lang w:val="en-US"/>
        </w:rPr>
      </w:pPr>
      <w:r>
        <w:rPr>
          <w:rFonts w:ascii="Century Gothic" w:hAnsi="Century Gothic" w:cs="Calibri"/>
          <w:sz w:val="24"/>
          <w:szCs w:val="24"/>
          <w:lang w:val="en-US"/>
        </w:rPr>
        <w:t>Centennial College – College Overview</w:t>
      </w:r>
    </w:p>
    <w:p w:rsidR="006076A6" w:rsidRPr="006076A6" w:rsidRDefault="00ED4295" w:rsidP="006076A6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4"/>
          <w:szCs w:val="24"/>
          <w:lang w:val="en-US"/>
        </w:rPr>
      </w:pPr>
      <w:r>
        <w:rPr>
          <w:rFonts w:ascii="Century Gothic" w:hAnsi="Century Gothic" w:cs="Calibri"/>
          <w:sz w:val="24"/>
          <w:szCs w:val="24"/>
          <w:lang w:val="en-US"/>
        </w:rPr>
        <w:t>U</w:t>
      </w:r>
      <w:r w:rsidR="005C55D3">
        <w:rPr>
          <w:rFonts w:ascii="Century Gothic" w:hAnsi="Century Gothic" w:cs="Calibri"/>
          <w:sz w:val="24"/>
          <w:szCs w:val="24"/>
          <w:lang w:val="en-US"/>
        </w:rPr>
        <w:t>niversity of Toronto</w:t>
      </w:r>
      <w:r w:rsidR="00356E3D">
        <w:rPr>
          <w:rFonts w:ascii="Century Gothic" w:hAnsi="Century Gothic" w:cs="Calibri"/>
          <w:sz w:val="24"/>
          <w:szCs w:val="24"/>
          <w:lang w:val="en-US"/>
        </w:rPr>
        <w:t xml:space="preserve"> – University Overview</w:t>
      </w:r>
    </w:p>
    <w:p w:rsidR="0043334B" w:rsidRDefault="00032324" w:rsidP="006076A6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4"/>
          <w:szCs w:val="24"/>
          <w:lang w:val="en-US"/>
        </w:rPr>
      </w:pPr>
      <w:r>
        <w:rPr>
          <w:rFonts w:ascii="Century Gothic" w:hAnsi="Century Gothic" w:cs="Calibri"/>
          <w:sz w:val="24"/>
          <w:szCs w:val="24"/>
          <w:lang w:val="en-US"/>
        </w:rPr>
        <w:t>George Brown</w:t>
      </w:r>
      <w:r w:rsidRPr="006076A6">
        <w:rPr>
          <w:rFonts w:ascii="Century Gothic" w:hAnsi="Century Gothic" w:cs="Calibri"/>
          <w:sz w:val="24"/>
          <w:szCs w:val="24"/>
          <w:lang w:val="en-US"/>
        </w:rPr>
        <w:t xml:space="preserve"> </w:t>
      </w:r>
      <w:r>
        <w:rPr>
          <w:rFonts w:ascii="Century Gothic" w:hAnsi="Century Gothic" w:cs="Calibri"/>
          <w:sz w:val="24"/>
          <w:szCs w:val="24"/>
          <w:lang w:val="en-US"/>
        </w:rPr>
        <w:t xml:space="preserve">College – </w:t>
      </w:r>
      <w:r w:rsidR="00E74813" w:rsidRPr="006076A6">
        <w:rPr>
          <w:rFonts w:ascii="Century Gothic" w:hAnsi="Century Gothic" w:cs="Calibri"/>
          <w:sz w:val="24"/>
          <w:szCs w:val="24"/>
          <w:lang w:val="en-US"/>
        </w:rPr>
        <w:t>OSAP/</w:t>
      </w:r>
      <w:r w:rsidR="00ED4295">
        <w:rPr>
          <w:rFonts w:ascii="Century Gothic" w:hAnsi="Century Gothic" w:cs="Calibri"/>
          <w:sz w:val="24"/>
          <w:szCs w:val="24"/>
          <w:lang w:val="en-US"/>
        </w:rPr>
        <w:t>F</w:t>
      </w:r>
      <w:r w:rsidR="00E74813" w:rsidRPr="006076A6">
        <w:rPr>
          <w:rFonts w:ascii="Century Gothic" w:hAnsi="Century Gothic" w:cs="Calibri"/>
          <w:sz w:val="24"/>
          <w:szCs w:val="24"/>
          <w:lang w:val="en-US"/>
        </w:rPr>
        <w:t xml:space="preserve">inancial </w:t>
      </w:r>
      <w:r w:rsidR="00ED4295">
        <w:rPr>
          <w:rFonts w:ascii="Century Gothic" w:hAnsi="Century Gothic" w:cs="Calibri"/>
          <w:sz w:val="24"/>
          <w:szCs w:val="24"/>
          <w:lang w:val="en-US"/>
        </w:rPr>
        <w:t>A</w:t>
      </w:r>
      <w:r w:rsidR="00E74813" w:rsidRPr="006076A6">
        <w:rPr>
          <w:rFonts w:ascii="Century Gothic" w:hAnsi="Century Gothic" w:cs="Calibri"/>
          <w:sz w:val="24"/>
          <w:szCs w:val="24"/>
          <w:lang w:val="en-US"/>
        </w:rPr>
        <w:t>id</w:t>
      </w:r>
      <w:r w:rsidR="00ED4295">
        <w:rPr>
          <w:rFonts w:ascii="Century Gothic" w:hAnsi="Century Gothic" w:cs="Calibri"/>
          <w:sz w:val="24"/>
          <w:szCs w:val="24"/>
          <w:lang w:val="en-US"/>
        </w:rPr>
        <w:t xml:space="preserve"> </w:t>
      </w:r>
    </w:p>
    <w:p w:rsidR="0043334B" w:rsidRDefault="0043334B" w:rsidP="0043334B">
      <w:pPr>
        <w:pStyle w:val="ListParagraph"/>
        <w:rPr>
          <w:rFonts w:ascii="Century Gothic" w:hAnsi="Century Gothic" w:cs="Calibri"/>
          <w:sz w:val="24"/>
          <w:szCs w:val="24"/>
          <w:lang w:val="en-US"/>
        </w:rPr>
      </w:pPr>
    </w:p>
    <w:p w:rsidR="0090417F" w:rsidRPr="00032324" w:rsidRDefault="00032324" w:rsidP="00032324">
      <w:pPr>
        <w:ind w:firstLine="360"/>
        <w:rPr>
          <w:rFonts w:ascii="Century Gothic" w:hAnsi="Century Gothic" w:cs="Calibri"/>
          <w:sz w:val="24"/>
          <w:szCs w:val="24"/>
          <w:lang w:val="en-US"/>
        </w:rPr>
      </w:pPr>
      <w:r w:rsidRPr="00032324">
        <w:rPr>
          <w:rFonts w:ascii="Century Gothic" w:hAnsi="Century Gothic" w:cs="Calibri"/>
          <w:sz w:val="24"/>
          <w:szCs w:val="24"/>
          <w:lang w:val="en-US"/>
        </w:rPr>
        <w:t>The panel presentation</w:t>
      </w:r>
      <w:r w:rsidR="006076A6" w:rsidRPr="00032324">
        <w:rPr>
          <w:rFonts w:ascii="Century Gothic" w:hAnsi="Century Gothic" w:cs="Calibri"/>
          <w:sz w:val="24"/>
          <w:szCs w:val="24"/>
          <w:lang w:val="en-US"/>
        </w:rPr>
        <w:t xml:space="preserve"> will be followed by a carousel in the cafeteria with delegates from </w:t>
      </w:r>
      <w:r w:rsidR="00D8316D" w:rsidRPr="00032324">
        <w:rPr>
          <w:rFonts w:ascii="Century Gothic" w:hAnsi="Century Gothic" w:cs="Calibri"/>
          <w:b/>
          <w:sz w:val="24"/>
          <w:szCs w:val="24"/>
          <w:lang w:val="en-US"/>
        </w:rPr>
        <w:t xml:space="preserve">over </w:t>
      </w:r>
      <w:r w:rsidR="00C71641" w:rsidRPr="00032324">
        <w:rPr>
          <w:rFonts w:ascii="Century Gothic" w:hAnsi="Century Gothic" w:cs="Calibri"/>
          <w:b/>
          <w:sz w:val="24"/>
          <w:szCs w:val="24"/>
          <w:lang w:val="en-US"/>
        </w:rPr>
        <w:t>40</w:t>
      </w:r>
      <w:r w:rsidR="006076A6" w:rsidRPr="00032324">
        <w:rPr>
          <w:rFonts w:ascii="Century Gothic" w:hAnsi="Century Gothic" w:cs="Calibri"/>
          <w:b/>
          <w:sz w:val="24"/>
          <w:szCs w:val="24"/>
          <w:lang w:val="en-US"/>
        </w:rPr>
        <w:t xml:space="preserve"> </w:t>
      </w:r>
      <w:r w:rsidR="00856998" w:rsidRPr="00032324">
        <w:rPr>
          <w:rFonts w:ascii="Century Gothic" w:hAnsi="Century Gothic" w:cs="Calibri"/>
          <w:b/>
          <w:sz w:val="24"/>
          <w:szCs w:val="24"/>
          <w:lang w:val="en-US"/>
        </w:rPr>
        <w:t>post- secondary institutions</w:t>
      </w:r>
      <w:r>
        <w:rPr>
          <w:rFonts w:ascii="Century Gothic" w:hAnsi="Century Gothic" w:cs="Calibri"/>
          <w:b/>
          <w:sz w:val="24"/>
          <w:szCs w:val="24"/>
          <w:lang w:val="en-US"/>
        </w:rPr>
        <w:t>.</w:t>
      </w:r>
      <w:r>
        <w:rPr>
          <w:rFonts w:ascii="Century Gothic" w:hAnsi="Century Gothic" w:cs="Calibri"/>
          <w:sz w:val="24"/>
          <w:szCs w:val="24"/>
          <w:lang w:val="en-US"/>
        </w:rPr>
        <w:t xml:space="preserve"> S</w:t>
      </w:r>
      <w:r w:rsidR="007E1BA1" w:rsidRPr="00032324">
        <w:rPr>
          <w:rFonts w:ascii="Century Gothic" w:hAnsi="Century Gothic" w:cs="Calibri"/>
          <w:sz w:val="24"/>
          <w:szCs w:val="24"/>
          <w:lang w:val="en-US"/>
        </w:rPr>
        <w:t>tudents and parents</w:t>
      </w:r>
      <w:r w:rsidR="00D30668" w:rsidRPr="00032324">
        <w:rPr>
          <w:rFonts w:ascii="Century Gothic" w:hAnsi="Century Gothic" w:cs="Calibri"/>
          <w:sz w:val="24"/>
          <w:szCs w:val="24"/>
          <w:lang w:val="en-US"/>
        </w:rPr>
        <w:t xml:space="preserve"> will have an opportunity to inquire about specific program requirements, </w:t>
      </w:r>
      <w:r>
        <w:rPr>
          <w:rFonts w:ascii="Century Gothic" w:hAnsi="Century Gothic" w:cs="Calibri"/>
          <w:sz w:val="24"/>
          <w:szCs w:val="24"/>
          <w:lang w:val="en-US"/>
        </w:rPr>
        <w:t xml:space="preserve">admission criteria, </w:t>
      </w:r>
      <w:r w:rsidR="00D30668" w:rsidRPr="00032324">
        <w:rPr>
          <w:rFonts w:ascii="Century Gothic" w:hAnsi="Century Gothic" w:cs="Calibri"/>
          <w:sz w:val="24"/>
          <w:szCs w:val="24"/>
          <w:lang w:val="en-US"/>
        </w:rPr>
        <w:t>residence information and much more.</w:t>
      </w:r>
    </w:p>
    <w:p w:rsidR="00E243ED" w:rsidRPr="00183F8C" w:rsidRDefault="00183F8C" w:rsidP="00183F8C">
      <w:pPr>
        <w:shd w:val="clear" w:color="auto" w:fill="D9D9D9" w:themeFill="background1" w:themeFillShade="D9"/>
        <w:rPr>
          <w:rFonts w:ascii="Century Gothic" w:hAnsi="Century Gothic" w:cs="Calibri"/>
          <w:b/>
          <w:sz w:val="20"/>
          <w:szCs w:val="20"/>
          <w:lang w:val="en-US"/>
        </w:rPr>
      </w:pPr>
      <w:r w:rsidRPr="00183F8C">
        <w:rPr>
          <w:rFonts w:ascii="Century Gothic" w:hAnsi="Century Gothic" w:cs="Calibri"/>
          <w:b/>
          <w:sz w:val="20"/>
          <w:szCs w:val="20"/>
          <w:lang w:val="en-US"/>
        </w:rPr>
        <w:t>Durham College</w:t>
      </w:r>
      <w:r w:rsidR="00E243ED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, </w:t>
      </w:r>
      <w:r w:rsidR="00044998">
        <w:rPr>
          <w:rFonts w:ascii="Century Gothic" w:hAnsi="Century Gothic" w:cs="Calibri"/>
          <w:b/>
          <w:sz w:val="20"/>
          <w:szCs w:val="20"/>
          <w:lang w:val="en-US"/>
        </w:rPr>
        <w:t>Centennial College</w:t>
      </w:r>
      <w:r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, Seneca College, George Brown College, Humber College, </w:t>
      </w:r>
      <w:r w:rsidR="00044998">
        <w:rPr>
          <w:rFonts w:ascii="Century Gothic" w:hAnsi="Century Gothic" w:cs="Calibri"/>
          <w:b/>
          <w:sz w:val="20"/>
          <w:szCs w:val="20"/>
          <w:lang w:val="en-US"/>
        </w:rPr>
        <w:t>Huron University College</w:t>
      </w:r>
      <w:r w:rsidR="007E1BA1">
        <w:rPr>
          <w:rFonts w:ascii="Century Gothic" w:hAnsi="Century Gothic" w:cs="Calibri"/>
          <w:b/>
          <w:sz w:val="20"/>
          <w:szCs w:val="20"/>
          <w:lang w:val="en-US"/>
        </w:rPr>
        <w:t>,</w:t>
      </w:r>
      <w:r w:rsidR="007E1BA1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 w:rsidR="00BB1B76">
        <w:rPr>
          <w:rFonts w:ascii="Century Gothic" w:hAnsi="Century Gothic" w:cs="Calibri"/>
          <w:b/>
          <w:sz w:val="20"/>
          <w:szCs w:val="20"/>
          <w:lang w:val="en-US"/>
        </w:rPr>
        <w:t>Georgian College</w:t>
      </w:r>
      <w:r w:rsidR="007E1BA1">
        <w:rPr>
          <w:rFonts w:ascii="Century Gothic" w:hAnsi="Century Gothic" w:cs="Calibri"/>
          <w:b/>
          <w:sz w:val="20"/>
          <w:szCs w:val="20"/>
          <w:lang w:val="en-US"/>
        </w:rPr>
        <w:t>,</w:t>
      </w:r>
      <w:r w:rsidR="007E1BA1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 w:rsidR="007E1BA1">
        <w:rPr>
          <w:rFonts w:ascii="Century Gothic" w:hAnsi="Century Gothic" w:cs="Calibri"/>
          <w:b/>
          <w:sz w:val="20"/>
          <w:szCs w:val="20"/>
          <w:lang w:val="en-US"/>
        </w:rPr>
        <w:t xml:space="preserve">Max the Mutt College of Animation, </w:t>
      </w:r>
      <w:r w:rsidR="00E243ED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Lakehead University, </w:t>
      </w:r>
      <w:r w:rsidR="00044998">
        <w:rPr>
          <w:rFonts w:ascii="Century Gothic" w:hAnsi="Century Gothic" w:cs="Calibri"/>
          <w:b/>
          <w:sz w:val="20"/>
          <w:szCs w:val="20"/>
          <w:lang w:val="en-US"/>
        </w:rPr>
        <w:t>Queens University</w:t>
      </w:r>
      <w:r w:rsidR="00E243ED" w:rsidRPr="00183F8C">
        <w:rPr>
          <w:rFonts w:ascii="Century Gothic" w:hAnsi="Century Gothic" w:cs="Calibri"/>
          <w:b/>
          <w:sz w:val="20"/>
          <w:szCs w:val="20"/>
          <w:lang w:val="en-US"/>
        </w:rPr>
        <w:t>, Ryerson University, Trent University, Tyndale Un</w:t>
      </w:r>
      <w:r w:rsidR="00350122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iversity, University of Guelph, University of Guelph </w:t>
      </w:r>
      <w:r w:rsidR="00E243ED" w:rsidRPr="00183F8C">
        <w:rPr>
          <w:rFonts w:ascii="Century Gothic" w:hAnsi="Century Gothic" w:cs="Calibri"/>
          <w:b/>
          <w:sz w:val="20"/>
          <w:szCs w:val="20"/>
          <w:lang w:val="en-US"/>
        </w:rPr>
        <w:t>Humber, University of Ontario Institute of Technology, University of Ottawa, University of Toronto, University of Western Ontari</w:t>
      </w:r>
      <w:r w:rsidR="00F313E5" w:rsidRPr="00183F8C">
        <w:rPr>
          <w:rFonts w:ascii="Century Gothic" w:hAnsi="Century Gothic" w:cs="Calibri"/>
          <w:b/>
          <w:sz w:val="20"/>
          <w:szCs w:val="20"/>
          <w:lang w:val="en-US"/>
        </w:rPr>
        <w:t>o, Universi</w:t>
      </w:r>
      <w:r w:rsidRPr="00183F8C">
        <w:rPr>
          <w:rFonts w:ascii="Century Gothic" w:hAnsi="Century Gothic" w:cs="Calibri"/>
          <w:b/>
          <w:sz w:val="20"/>
          <w:szCs w:val="20"/>
          <w:lang w:val="en-US"/>
        </w:rPr>
        <w:t>ty of Windsor, Wilfre</w:t>
      </w:r>
      <w:r w:rsidR="00E243ED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d Laurier University, </w:t>
      </w:r>
      <w:r w:rsidR="00F313E5" w:rsidRPr="00183F8C">
        <w:rPr>
          <w:rFonts w:ascii="Century Gothic" w:hAnsi="Century Gothic" w:cs="Calibri"/>
          <w:b/>
          <w:sz w:val="20"/>
          <w:szCs w:val="20"/>
          <w:lang w:val="en-US"/>
        </w:rPr>
        <w:t>York University</w:t>
      </w:r>
      <w:r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, </w:t>
      </w:r>
      <w:r w:rsidR="00BB1B76">
        <w:rPr>
          <w:rFonts w:ascii="Century Gothic" w:hAnsi="Century Gothic" w:cs="Calibri"/>
          <w:b/>
          <w:sz w:val="20"/>
          <w:szCs w:val="20"/>
          <w:lang w:val="en-US"/>
        </w:rPr>
        <w:t xml:space="preserve">University of Waterloo, </w:t>
      </w:r>
      <w:r w:rsidR="007E1BA1">
        <w:rPr>
          <w:rFonts w:ascii="Century Gothic" w:hAnsi="Century Gothic" w:cs="Calibri"/>
          <w:b/>
          <w:sz w:val="20"/>
          <w:szCs w:val="20"/>
          <w:lang w:val="en-US"/>
        </w:rPr>
        <w:t>Brock University, Carlton University, McMaster</w:t>
      </w:r>
      <w:r w:rsidR="00BB1B76">
        <w:rPr>
          <w:rFonts w:ascii="Century Gothic" w:hAnsi="Century Gothic" w:cs="Calibri"/>
          <w:b/>
          <w:sz w:val="20"/>
          <w:szCs w:val="20"/>
          <w:lang w:val="en-US"/>
        </w:rPr>
        <w:t>, UBC (University of British Columbia)</w:t>
      </w:r>
      <w:r w:rsidR="00044998">
        <w:rPr>
          <w:rFonts w:ascii="Century Gothic" w:hAnsi="Century Gothic" w:cs="Calibri"/>
          <w:b/>
          <w:sz w:val="20"/>
          <w:szCs w:val="20"/>
          <w:lang w:val="en-US"/>
        </w:rPr>
        <w:t xml:space="preserve">, </w:t>
      </w:r>
      <w:r w:rsidR="00BB1B76">
        <w:rPr>
          <w:rFonts w:ascii="Century Gothic" w:hAnsi="Century Gothic" w:cs="Calibri"/>
          <w:b/>
          <w:sz w:val="20"/>
          <w:szCs w:val="20"/>
          <w:lang w:val="en-US"/>
        </w:rPr>
        <w:t>Concordia University</w:t>
      </w:r>
      <w:r w:rsidR="00044998">
        <w:rPr>
          <w:rFonts w:ascii="Century Gothic" w:hAnsi="Century Gothic" w:cs="Calibri"/>
          <w:b/>
          <w:sz w:val="20"/>
          <w:szCs w:val="20"/>
          <w:lang w:val="en-US"/>
        </w:rPr>
        <w:t>, St. Mary</w:t>
      </w:r>
      <w:r w:rsidR="00C80753">
        <w:rPr>
          <w:rFonts w:ascii="Century Gothic" w:hAnsi="Century Gothic" w:cs="Calibri"/>
          <w:b/>
          <w:sz w:val="20"/>
          <w:szCs w:val="20"/>
          <w:lang w:val="en-US"/>
        </w:rPr>
        <w:t>’s University</w:t>
      </w:r>
      <w:r w:rsidR="00771079">
        <w:rPr>
          <w:rFonts w:ascii="Century Gothic" w:hAnsi="Century Gothic" w:cs="Calibri"/>
          <w:b/>
          <w:sz w:val="20"/>
          <w:szCs w:val="20"/>
          <w:lang w:val="en-US"/>
        </w:rPr>
        <w:t>, Halifax University</w:t>
      </w:r>
      <w:r w:rsidR="007E1BA1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 w:rsidR="00440D6D" w:rsidRPr="00183F8C">
        <w:rPr>
          <w:rFonts w:ascii="Century Gothic" w:hAnsi="Century Gothic" w:cs="Calibri"/>
          <w:b/>
          <w:sz w:val="20"/>
          <w:szCs w:val="20"/>
          <w:lang w:val="en-US"/>
        </w:rPr>
        <w:t xml:space="preserve">and </w:t>
      </w:r>
      <w:r w:rsidR="00C80753">
        <w:rPr>
          <w:rFonts w:ascii="Century Gothic" w:hAnsi="Century Gothic" w:cs="Calibri"/>
          <w:b/>
          <w:sz w:val="20"/>
          <w:szCs w:val="20"/>
          <w:lang w:val="en-US"/>
        </w:rPr>
        <w:t xml:space="preserve">much </w:t>
      </w:r>
      <w:r w:rsidR="00440D6D" w:rsidRPr="00183F8C">
        <w:rPr>
          <w:rFonts w:ascii="Century Gothic" w:hAnsi="Century Gothic" w:cs="Calibri"/>
          <w:b/>
          <w:sz w:val="20"/>
          <w:szCs w:val="20"/>
          <w:lang w:val="en-US"/>
        </w:rPr>
        <w:t>more!</w:t>
      </w:r>
    </w:p>
    <w:p w:rsidR="00E243ED" w:rsidRPr="00440D6D" w:rsidRDefault="006076A6" w:rsidP="00F313E5">
      <w:pPr>
        <w:jc w:val="center"/>
        <w:rPr>
          <w:rFonts w:ascii="Century Gothic" w:hAnsi="Century Gothic" w:cs="Calibri"/>
          <w:b/>
          <w:i/>
          <w:sz w:val="24"/>
          <w:szCs w:val="24"/>
          <w:lang w:val="en-US"/>
        </w:rPr>
      </w:pPr>
      <w:r w:rsidRPr="00440D6D">
        <w:rPr>
          <w:rFonts w:ascii="Century Gothic" w:hAnsi="Century Gothic" w:cs="Calibri"/>
          <w:b/>
          <w:i/>
          <w:sz w:val="24"/>
          <w:szCs w:val="24"/>
          <w:lang w:val="en-US"/>
        </w:rPr>
        <w:t>Don’t miss this great opportunity to plan for your post-secondary education!</w:t>
      </w:r>
    </w:p>
    <w:sectPr w:rsidR="00E243ED" w:rsidRPr="00440D6D" w:rsidSect="00AC26A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B" w:rsidRDefault="00AB3BBB" w:rsidP="006076A6">
      <w:pPr>
        <w:spacing w:after="0" w:line="240" w:lineRule="auto"/>
      </w:pPr>
      <w:r>
        <w:separator/>
      </w:r>
    </w:p>
  </w:endnote>
  <w:endnote w:type="continuationSeparator" w:id="0">
    <w:p w:rsidR="00AB3BBB" w:rsidRDefault="00AB3BBB" w:rsidP="006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B" w:rsidRDefault="00AB3BBB" w:rsidP="006076A6">
      <w:pPr>
        <w:spacing w:after="0" w:line="240" w:lineRule="auto"/>
      </w:pPr>
      <w:r>
        <w:separator/>
      </w:r>
    </w:p>
  </w:footnote>
  <w:footnote w:type="continuationSeparator" w:id="0">
    <w:p w:rsidR="00AB3BBB" w:rsidRDefault="00AB3BBB" w:rsidP="0060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25E"/>
    <w:multiLevelType w:val="hybridMultilevel"/>
    <w:tmpl w:val="D610B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6"/>
    <w:rsid w:val="00032324"/>
    <w:rsid w:val="00044998"/>
    <w:rsid w:val="00077D3A"/>
    <w:rsid w:val="000F7BA6"/>
    <w:rsid w:val="00183F8C"/>
    <w:rsid w:val="001A53E3"/>
    <w:rsid w:val="002C7819"/>
    <w:rsid w:val="002E25A5"/>
    <w:rsid w:val="00300019"/>
    <w:rsid w:val="00345DD9"/>
    <w:rsid w:val="00350122"/>
    <w:rsid w:val="00356E3D"/>
    <w:rsid w:val="003A724C"/>
    <w:rsid w:val="0043334B"/>
    <w:rsid w:val="00440D6D"/>
    <w:rsid w:val="00576B34"/>
    <w:rsid w:val="005C55D3"/>
    <w:rsid w:val="006076A6"/>
    <w:rsid w:val="00630C6C"/>
    <w:rsid w:val="0068171E"/>
    <w:rsid w:val="006E7C82"/>
    <w:rsid w:val="006F6731"/>
    <w:rsid w:val="00771079"/>
    <w:rsid w:val="0079705C"/>
    <w:rsid w:val="007E1BA1"/>
    <w:rsid w:val="00856998"/>
    <w:rsid w:val="0087018D"/>
    <w:rsid w:val="008E0322"/>
    <w:rsid w:val="0090417F"/>
    <w:rsid w:val="0093191B"/>
    <w:rsid w:val="009606B0"/>
    <w:rsid w:val="00AB3BBB"/>
    <w:rsid w:val="00AC26AF"/>
    <w:rsid w:val="00BB1B76"/>
    <w:rsid w:val="00C5599F"/>
    <w:rsid w:val="00C71641"/>
    <w:rsid w:val="00C80753"/>
    <w:rsid w:val="00CA6B27"/>
    <w:rsid w:val="00D17D7D"/>
    <w:rsid w:val="00D30668"/>
    <w:rsid w:val="00D8316D"/>
    <w:rsid w:val="00E243ED"/>
    <w:rsid w:val="00E74813"/>
    <w:rsid w:val="00ED4295"/>
    <w:rsid w:val="00F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A6"/>
  </w:style>
  <w:style w:type="paragraph" w:styleId="Footer">
    <w:name w:val="footer"/>
    <w:basedOn w:val="Normal"/>
    <w:link w:val="FooterChar"/>
    <w:uiPriority w:val="99"/>
    <w:unhideWhenUsed/>
    <w:rsid w:val="0060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A6"/>
  </w:style>
  <w:style w:type="paragraph" w:styleId="BalloonText">
    <w:name w:val="Balloon Text"/>
    <w:basedOn w:val="Normal"/>
    <w:link w:val="BalloonTextChar"/>
    <w:uiPriority w:val="99"/>
    <w:semiHidden/>
    <w:unhideWhenUsed/>
    <w:rsid w:val="002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A6"/>
  </w:style>
  <w:style w:type="paragraph" w:styleId="Footer">
    <w:name w:val="footer"/>
    <w:basedOn w:val="Normal"/>
    <w:link w:val="FooterChar"/>
    <w:uiPriority w:val="99"/>
    <w:unhideWhenUsed/>
    <w:rsid w:val="0060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A6"/>
  </w:style>
  <w:style w:type="paragraph" w:styleId="BalloonText">
    <w:name w:val="Balloon Text"/>
    <w:basedOn w:val="Normal"/>
    <w:link w:val="BalloonTextChar"/>
    <w:uiPriority w:val="99"/>
    <w:semiHidden/>
    <w:unhideWhenUsed/>
    <w:rsid w:val="002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graduation+pictures&amp;view=detailv2&amp;qpvt=graduation+pictures&amp;id=9151D22B126D2A18C100400DC5BCBD9DFA4E8E12&amp;selectedIndex=3&amp;ccid=kIJZJ5jP&amp;simid=608000764226244000&amp;thid=OIP.M9082592798cf5ad4320de20bd1a2230do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Jennifer</dc:creator>
  <cp:lastModifiedBy>Rowland, Hugh</cp:lastModifiedBy>
  <cp:revision>2</cp:revision>
  <cp:lastPrinted>2016-10-18T12:55:00Z</cp:lastPrinted>
  <dcterms:created xsi:type="dcterms:W3CDTF">2017-10-31T18:16:00Z</dcterms:created>
  <dcterms:modified xsi:type="dcterms:W3CDTF">2017-10-31T18:16:00Z</dcterms:modified>
</cp:coreProperties>
</file>