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3227"/>
        <w:gridCol w:w="4531"/>
        <w:gridCol w:w="1818"/>
      </w:tblGrid>
      <w:tr w:rsidR="00EB02C2" w:rsidRPr="00A930BF">
        <w:tc>
          <w:tcPr>
            <w:tcW w:w="3227" w:type="dxa"/>
            <w:tcBorders>
              <w:bottom w:val="single" w:sz="4" w:space="0" w:color="auto"/>
            </w:tcBorders>
            <w:shd w:val="clear" w:color="auto" w:fill="auto"/>
            <w:vAlign w:val="center"/>
          </w:tcPr>
          <w:p w:rsidR="00EB02C2" w:rsidRPr="00A930BF" w:rsidRDefault="00EB02C2" w:rsidP="00EB02C2">
            <w:pPr>
              <w:autoSpaceDE w:val="0"/>
              <w:autoSpaceDN w:val="0"/>
              <w:adjustRightInd w:val="0"/>
              <w:rPr>
                <w:rFonts w:ascii="Cambria" w:hAnsi="Cambria"/>
                <w:b/>
                <w:smallCaps/>
                <w:sz w:val="40"/>
                <w:szCs w:val="36"/>
              </w:rPr>
            </w:pPr>
            <w:bookmarkStart w:id="0" w:name="_GoBack"/>
            <w:bookmarkEnd w:id="0"/>
            <w:r w:rsidRPr="00A930BF">
              <w:rPr>
                <w:rFonts w:ascii="Cambria" w:hAnsi="Cambria"/>
                <w:b/>
                <w:smallCaps/>
                <w:sz w:val="40"/>
                <w:szCs w:val="36"/>
              </w:rPr>
              <w:t>Richview C. I.</w:t>
            </w:r>
          </w:p>
        </w:tc>
        <w:tc>
          <w:tcPr>
            <w:tcW w:w="4531" w:type="dxa"/>
            <w:tcBorders>
              <w:bottom w:val="single" w:sz="4" w:space="0" w:color="auto"/>
            </w:tcBorders>
            <w:shd w:val="clear" w:color="auto" w:fill="auto"/>
            <w:vAlign w:val="center"/>
          </w:tcPr>
          <w:p w:rsidR="00EB02C2" w:rsidRPr="00A930BF" w:rsidRDefault="00EB02C2" w:rsidP="00EB02C2">
            <w:pPr>
              <w:autoSpaceDE w:val="0"/>
              <w:autoSpaceDN w:val="0"/>
              <w:adjustRightInd w:val="0"/>
              <w:jc w:val="center"/>
              <w:rPr>
                <w:rFonts w:ascii="Cambria" w:hAnsi="Cambria"/>
                <w:b/>
                <w:smallCaps/>
                <w:sz w:val="40"/>
                <w:szCs w:val="36"/>
              </w:rPr>
            </w:pPr>
            <w:r w:rsidRPr="00A930BF">
              <w:rPr>
                <w:rFonts w:ascii="Cambria" w:hAnsi="Cambria"/>
                <w:b/>
                <w:smallCaps/>
                <w:sz w:val="18"/>
                <w:szCs w:val="16"/>
              </w:rPr>
              <w:t>1738 Islington Ave, Etobicoke, ON M9A 3N2</w:t>
            </w:r>
          </w:p>
        </w:tc>
        <w:tc>
          <w:tcPr>
            <w:tcW w:w="1818" w:type="dxa"/>
            <w:tcBorders>
              <w:bottom w:val="single" w:sz="4" w:space="0" w:color="auto"/>
            </w:tcBorders>
            <w:shd w:val="clear" w:color="auto" w:fill="auto"/>
            <w:vAlign w:val="center"/>
          </w:tcPr>
          <w:p w:rsidR="00EB02C2" w:rsidRPr="00A930BF" w:rsidRDefault="00EB02C2" w:rsidP="00EB02C2">
            <w:pPr>
              <w:autoSpaceDE w:val="0"/>
              <w:autoSpaceDN w:val="0"/>
              <w:adjustRightInd w:val="0"/>
              <w:jc w:val="right"/>
              <w:rPr>
                <w:rFonts w:ascii="Cambria" w:hAnsi="Cambria"/>
                <w:b/>
                <w:smallCaps/>
                <w:sz w:val="40"/>
                <w:szCs w:val="36"/>
              </w:rPr>
            </w:pPr>
            <w:r w:rsidRPr="00A930BF">
              <w:rPr>
                <w:rFonts w:ascii="Cambria" w:hAnsi="Cambria"/>
                <w:b/>
                <w:smallCaps/>
                <w:sz w:val="18"/>
                <w:szCs w:val="16"/>
              </w:rPr>
              <w:t>416-394-7980</w:t>
            </w:r>
          </w:p>
        </w:tc>
      </w:tr>
      <w:tr w:rsidR="00EB02C2" w:rsidRPr="00A930BF">
        <w:tblPrEx>
          <w:tblBorders>
            <w:bottom w:val="none" w:sz="0" w:space="0" w:color="auto"/>
          </w:tblBorders>
          <w:tblLook w:val="00A0" w:firstRow="1" w:lastRow="0" w:firstColumn="1" w:lastColumn="0" w:noHBand="0" w:noVBand="0"/>
        </w:tblPrEx>
        <w:trPr>
          <w:trHeight w:val="1985"/>
        </w:trPr>
        <w:tc>
          <w:tcPr>
            <w:tcW w:w="3227" w:type="dxa"/>
            <w:tcBorders>
              <w:top w:val="single" w:sz="4" w:space="0" w:color="auto"/>
            </w:tcBorders>
            <w:vAlign w:val="center"/>
          </w:tcPr>
          <w:p w:rsidR="00EB02C2" w:rsidRPr="00A930BF" w:rsidRDefault="00FD0744" w:rsidP="00EB02C2">
            <w:pPr>
              <w:autoSpaceDE w:val="0"/>
              <w:autoSpaceDN w:val="0"/>
              <w:adjustRightInd w:val="0"/>
              <w:jc w:val="center"/>
              <w:rPr>
                <w:rFonts w:ascii="Cambria" w:hAnsi="Cambria"/>
                <w:b/>
                <w:smallCaps/>
                <w:sz w:val="22"/>
                <w:szCs w:val="20"/>
              </w:rPr>
            </w:pPr>
            <w:r>
              <w:rPr>
                <w:rFonts w:ascii="Cambria" w:hAnsi="Cambria"/>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10160</wp:posOffset>
                  </wp:positionV>
                  <wp:extent cx="1235075" cy="1187450"/>
                  <wp:effectExtent l="0" t="0" r="3175" b="0"/>
                  <wp:wrapTight wrapText="bothSides">
                    <wp:wrapPolygon edited="0">
                      <wp:start x="0" y="0"/>
                      <wp:lineTo x="0" y="21138"/>
                      <wp:lineTo x="21322" y="21138"/>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1187450"/>
                          </a:xfrm>
                          <a:prstGeom prst="rect">
                            <a:avLst/>
                          </a:prstGeom>
                          <a:noFill/>
                        </pic:spPr>
                      </pic:pic>
                    </a:graphicData>
                  </a:graphic>
                  <wp14:sizeRelH relativeFrom="page">
                    <wp14:pctWidth>0</wp14:pctWidth>
                  </wp14:sizeRelH>
                  <wp14:sizeRelV relativeFrom="page">
                    <wp14:pctHeight>0</wp14:pctHeight>
                  </wp14:sizeRelV>
                </wp:anchor>
              </w:drawing>
            </w:r>
          </w:p>
        </w:tc>
        <w:tc>
          <w:tcPr>
            <w:tcW w:w="6349" w:type="dxa"/>
            <w:gridSpan w:val="2"/>
            <w:tcBorders>
              <w:top w:val="single" w:sz="4" w:space="0" w:color="auto"/>
            </w:tcBorders>
            <w:vAlign w:val="center"/>
          </w:tcPr>
          <w:p w:rsidR="00EB02C2" w:rsidRPr="00A930BF" w:rsidRDefault="006956E5" w:rsidP="00EB02C2">
            <w:pPr>
              <w:autoSpaceDE w:val="0"/>
              <w:autoSpaceDN w:val="0"/>
              <w:adjustRightInd w:val="0"/>
              <w:jc w:val="center"/>
              <w:rPr>
                <w:rFonts w:ascii="Cambria" w:hAnsi="Cambria"/>
                <w:b/>
                <w:smallCaps/>
                <w:sz w:val="40"/>
                <w:szCs w:val="36"/>
              </w:rPr>
            </w:pPr>
            <w:r>
              <w:rPr>
                <w:rFonts w:ascii="Cambria" w:hAnsi="Cambria"/>
                <w:b/>
                <w:smallCaps/>
                <w:sz w:val="40"/>
                <w:szCs w:val="36"/>
              </w:rPr>
              <w:t>sch 4u</w:t>
            </w:r>
          </w:p>
          <w:p w:rsidR="00EB02C2" w:rsidRPr="00A930BF" w:rsidRDefault="006956E5" w:rsidP="00EB02C2">
            <w:pPr>
              <w:autoSpaceDE w:val="0"/>
              <w:autoSpaceDN w:val="0"/>
              <w:adjustRightInd w:val="0"/>
              <w:jc w:val="center"/>
              <w:rPr>
                <w:rFonts w:ascii="Cambria" w:hAnsi="Cambria"/>
                <w:b/>
                <w:smallCaps/>
                <w:sz w:val="40"/>
              </w:rPr>
            </w:pPr>
            <w:r>
              <w:rPr>
                <w:rFonts w:ascii="Cambria" w:hAnsi="Cambria"/>
                <w:b/>
                <w:smallCaps/>
                <w:sz w:val="40"/>
              </w:rPr>
              <w:t>Grade 12</w:t>
            </w:r>
            <w:r w:rsidR="00EB02C2" w:rsidRPr="00A930BF">
              <w:rPr>
                <w:rFonts w:ascii="Cambria" w:hAnsi="Cambria"/>
                <w:b/>
                <w:smallCaps/>
                <w:sz w:val="40"/>
              </w:rPr>
              <w:t xml:space="preserve"> </w:t>
            </w:r>
            <w:r>
              <w:rPr>
                <w:rFonts w:ascii="Cambria" w:hAnsi="Cambria"/>
                <w:b/>
                <w:smallCaps/>
                <w:sz w:val="40"/>
              </w:rPr>
              <w:t>UNIVERSITY CHEMISTRY</w:t>
            </w:r>
          </w:p>
          <w:p w:rsidR="00EB02C2" w:rsidRPr="00A930BF" w:rsidRDefault="00EB02C2" w:rsidP="00EB02C2">
            <w:pPr>
              <w:autoSpaceDE w:val="0"/>
              <w:autoSpaceDN w:val="0"/>
              <w:adjustRightInd w:val="0"/>
              <w:jc w:val="center"/>
              <w:rPr>
                <w:rFonts w:ascii="Cambria" w:hAnsi="Cambria"/>
                <w:b/>
                <w:smallCaps/>
                <w:sz w:val="28"/>
                <w:szCs w:val="20"/>
              </w:rPr>
            </w:pPr>
            <w:r w:rsidRPr="00A930BF">
              <w:rPr>
                <w:rFonts w:ascii="Cambria" w:hAnsi="Cambria"/>
                <w:b/>
                <w:smallCaps/>
                <w:sz w:val="28"/>
              </w:rPr>
              <w:t>Course Outline (201</w:t>
            </w:r>
            <w:r w:rsidR="00591EE3">
              <w:rPr>
                <w:rFonts w:ascii="Cambria" w:hAnsi="Cambria"/>
                <w:b/>
                <w:smallCaps/>
                <w:sz w:val="28"/>
              </w:rPr>
              <w:t>6</w:t>
            </w:r>
            <w:r w:rsidRPr="00A930BF">
              <w:rPr>
                <w:rFonts w:ascii="Cambria" w:hAnsi="Cambria"/>
                <w:b/>
                <w:smallCaps/>
                <w:sz w:val="28"/>
              </w:rPr>
              <w:t xml:space="preserve"> – 201</w:t>
            </w:r>
            <w:r w:rsidR="00591EE3">
              <w:rPr>
                <w:rFonts w:ascii="Cambria" w:hAnsi="Cambria"/>
                <w:b/>
                <w:smallCaps/>
                <w:sz w:val="28"/>
              </w:rPr>
              <w:t>7</w:t>
            </w:r>
            <w:r w:rsidRPr="00A930BF">
              <w:rPr>
                <w:rFonts w:ascii="Cambria" w:hAnsi="Cambria"/>
                <w:b/>
                <w:smallCaps/>
                <w:sz w:val="28"/>
              </w:rPr>
              <w:t>)</w:t>
            </w:r>
          </w:p>
        </w:tc>
      </w:tr>
    </w:tbl>
    <w:p w:rsidR="00EB02C2" w:rsidRPr="00A930BF" w:rsidRDefault="00EB02C2" w:rsidP="00EB02C2">
      <w:pPr>
        <w:autoSpaceDE w:val="0"/>
        <w:autoSpaceDN w:val="0"/>
        <w:adjustRightInd w:val="0"/>
        <w:rPr>
          <w:rFonts w:ascii="Cambria" w:hAnsi="Cambria" w:cs="Palatino-BoldOsF"/>
          <w:b/>
          <w:bCs/>
          <w:sz w:val="28"/>
          <w:u w:val="single"/>
        </w:rPr>
      </w:pPr>
      <w:r w:rsidRPr="00A930BF">
        <w:rPr>
          <w:rFonts w:ascii="Cambria" w:hAnsi="Cambria" w:cs="Palatino-BoldOsF"/>
          <w:b/>
          <w:bCs/>
          <w:sz w:val="28"/>
          <w:u w:val="single"/>
        </w:rPr>
        <w:t>Teacher</w:t>
      </w:r>
    </w:p>
    <w:p w:rsidR="00D902DF" w:rsidRPr="00A930BF" w:rsidRDefault="00D902DF" w:rsidP="00EB02C2">
      <w:pPr>
        <w:autoSpaceDE w:val="0"/>
        <w:autoSpaceDN w:val="0"/>
        <w:adjustRightInd w:val="0"/>
        <w:rPr>
          <w:rFonts w:ascii="Cambria" w:hAnsi="Cambria" w:cs="Palatino-Roman"/>
          <w:sz w:val="22"/>
          <w:szCs w:val="20"/>
        </w:rPr>
      </w:pPr>
      <w:r>
        <w:rPr>
          <w:rFonts w:ascii="Cambria" w:hAnsi="Cambria" w:cs="Palatino-Roman"/>
          <w:sz w:val="22"/>
          <w:szCs w:val="20"/>
        </w:rPr>
        <w:t>J. Pugsley</w:t>
      </w:r>
      <w:r w:rsidR="001456BC">
        <w:rPr>
          <w:rFonts w:ascii="Cambria" w:hAnsi="Cambria" w:cs="Palatino-Roman"/>
          <w:sz w:val="22"/>
          <w:szCs w:val="20"/>
        </w:rPr>
        <w:t xml:space="preserve">            </w:t>
      </w:r>
      <w:r w:rsidR="001456BC">
        <w:rPr>
          <w:rFonts w:ascii="Cambria" w:hAnsi="Cambria" w:cs="Palatino-Roman"/>
          <w:sz w:val="22"/>
          <w:szCs w:val="20"/>
        </w:rPr>
        <w:tab/>
      </w:r>
      <w:r w:rsidR="001456BC">
        <w:rPr>
          <w:rFonts w:ascii="Cambria" w:hAnsi="Cambria" w:cs="Palatino-Roman"/>
          <w:sz w:val="22"/>
          <w:szCs w:val="20"/>
        </w:rPr>
        <w:tab/>
      </w:r>
      <w:r w:rsidR="001456BC">
        <w:rPr>
          <w:rFonts w:ascii="Cambria" w:hAnsi="Cambria" w:cs="Palatino-Roman"/>
          <w:sz w:val="22"/>
          <w:szCs w:val="20"/>
        </w:rPr>
        <w:tab/>
      </w:r>
      <w:r w:rsidR="001456BC">
        <w:rPr>
          <w:rFonts w:ascii="Cambria" w:hAnsi="Cambria" w:cs="Palatino-Roman"/>
          <w:sz w:val="22"/>
          <w:szCs w:val="20"/>
        </w:rPr>
        <w:tab/>
      </w:r>
      <w:r w:rsidR="006956E5">
        <w:rPr>
          <w:rFonts w:ascii="Cambria" w:hAnsi="Cambria" w:cs="Palatino-Roman"/>
          <w:sz w:val="22"/>
          <w:szCs w:val="20"/>
        </w:rPr>
        <w:t>j</w:t>
      </w:r>
      <w:r>
        <w:rPr>
          <w:rFonts w:ascii="Cambria" w:hAnsi="Cambria" w:cs="Palatino-Roman"/>
          <w:sz w:val="22"/>
          <w:szCs w:val="20"/>
        </w:rPr>
        <w:t>oanne.pugsley@td</w:t>
      </w:r>
      <w:r w:rsidR="0092189E">
        <w:rPr>
          <w:rFonts w:ascii="Cambria" w:hAnsi="Cambria" w:cs="Palatino-Roman"/>
          <w:sz w:val="22"/>
          <w:szCs w:val="20"/>
        </w:rPr>
        <w:t>s</w:t>
      </w:r>
      <w:r>
        <w:rPr>
          <w:rFonts w:ascii="Cambria" w:hAnsi="Cambria" w:cs="Palatino-Roman"/>
          <w:sz w:val="22"/>
          <w:szCs w:val="20"/>
        </w:rPr>
        <w:t>b.on.ca</w:t>
      </w:r>
    </w:p>
    <w:p w:rsidR="00EB02C2" w:rsidRPr="00A930BF" w:rsidRDefault="00EB02C2" w:rsidP="00EB02C2">
      <w:pPr>
        <w:autoSpaceDE w:val="0"/>
        <w:autoSpaceDN w:val="0"/>
        <w:adjustRightInd w:val="0"/>
        <w:rPr>
          <w:rFonts w:ascii="Cambria" w:hAnsi="Cambria" w:cs="Palatino-Roman"/>
          <w:sz w:val="22"/>
          <w:szCs w:val="20"/>
        </w:rPr>
      </w:pPr>
    </w:p>
    <w:p w:rsidR="00EB02C2" w:rsidRPr="001456BC" w:rsidRDefault="00EB02C2" w:rsidP="00EB02C2">
      <w:pPr>
        <w:autoSpaceDE w:val="0"/>
        <w:autoSpaceDN w:val="0"/>
        <w:adjustRightInd w:val="0"/>
        <w:rPr>
          <w:rFonts w:ascii="Cambria" w:hAnsi="Cambria" w:cs="Palatino-BoldOsF"/>
          <w:b/>
          <w:bCs/>
          <w:sz w:val="28"/>
          <w:u w:val="single"/>
        </w:rPr>
      </w:pPr>
      <w:r w:rsidRPr="001456BC">
        <w:rPr>
          <w:rFonts w:ascii="Cambria" w:hAnsi="Cambria" w:cs="Palatino-BoldOsF"/>
          <w:b/>
          <w:bCs/>
          <w:sz w:val="28"/>
        </w:rPr>
        <w:t>Prerequisite</w:t>
      </w:r>
      <w:r w:rsidR="001456BC">
        <w:rPr>
          <w:rFonts w:ascii="Cambria" w:hAnsi="Cambria" w:cs="Palatino-BoldOsF"/>
          <w:b/>
          <w:bCs/>
          <w:sz w:val="28"/>
        </w:rPr>
        <w:tab/>
      </w:r>
      <w:r w:rsidR="001456BC">
        <w:rPr>
          <w:rFonts w:ascii="Cambria" w:hAnsi="Cambria" w:cs="Palatino-BoldOsF"/>
          <w:b/>
          <w:bCs/>
          <w:sz w:val="28"/>
        </w:rPr>
        <w:tab/>
      </w:r>
      <w:r w:rsidR="001456BC">
        <w:rPr>
          <w:rFonts w:ascii="Cambria" w:hAnsi="Cambria" w:cs="Palatino-BoldOsF"/>
          <w:b/>
          <w:bCs/>
          <w:sz w:val="28"/>
        </w:rPr>
        <w:tab/>
      </w:r>
      <w:r w:rsidR="001456BC">
        <w:rPr>
          <w:rFonts w:ascii="Cambria" w:hAnsi="Cambria" w:cs="Palatino-BoldOsF"/>
          <w:b/>
          <w:bCs/>
          <w:sz w:val="28"/>
        </w:rPr>
        <w:tab/>
      </w:r>
      <w:r w:rsidR="006956E5" w:rsidRPr="001456BC">
        <w:rPr>
          <w:rFonts w:ascii="Cambria" w:hAnsi="Cambria" w:cs="Palatino-Roman"/>
          <w:sz w:val="22"/>
          <w:szCs w:val="20"/>
        </w:rPr>
        <w:t>SCH3U</w:t>
      </w:r>
      <w:r w:rsidR="006956E5" w:rsidRPr="006956E5">
        <w:rPr>
          <w:rFonts w:ascii="Cambria" w:hAnsi="Cambria" w:cs="Palatino-Roman"/>
          <w:sz w:val="22"/>
          <w:szCs w:val="20"/>
        </w:rPr>
        <w:t xml:space="preserve"> (Chemistry – Grade 11, University)</w:t>
      </w:r>
    </w:p>
    <w:p w:rsidR="00EB02C2" w:rsidRPr="00A930BF" w:rsidRDefault="00EB02C2" w:rsidP="00EB02C2">
      <w:pPr>
        <w:autoSpaceDE w:val="0"/>
        <w:autoSpaceDN w:val="0"/>
        <w:adjustRightInd w:val="0"/>
        <w:rPr>
          <w:rFonts w:ascii="Cambria" w:hAnsi="Cambria"/>
          <w:b/>
          <w:sz w:val="22"/>
          <w:szCs w:val="20"/>
        </w:rPr>
      </w:pPr>
    </w:p>
    <w:p w:rsidR="00EB02C2" w:rsidRDefault="00EB02C2" w:rsidP="00EB02C2">
      <w:pPr>
        <w:autoSpaceDE w:val="0"/>
        <w:autoSpaceDN w:val="0"/>
        <w:adjustRightInd w:val="0"/>
        <w:rPr>
          <w:rFonts w:ascii="Cambria" w:hAnsi="Cambria"/>
          <w:b/>
          <w:sz w:val="28"/>
          <w:u w:val="single"/>
        </w:rPr>
      </w:pPr>
      <w:r w:rsidRPr="00A930BF">
        <w:rPr>
          <w:rFonts w:ascii="Cambria" w:hAnsi="Cambria"/>
          <w:b/>
          <w:sz w:val="28"/>
          <w:u w:val="single"/>
        </w:rPr>
        <w:t>Curriculum Expectations</w:t>
      </w:r>
    </w:p>
    <w:p w:rsidR="00F90C26" w:rsidRPr="00A930BF" w:rsidRDefault="00F90C26" w:rsidP="00EB02C2">
      <w:pPr>
        <w:autoSpaceDE w:val="0"/>
        <w:autoSpaceDN w:val="0"/>
        <w:adjustRightInd w:val="0"/>
        <w:rPr>
          <w:rFonts w:ascii="Cambria" w:hAnsi="Cambria"/>
          <w:b/>
          <w:sz w:val="28"/>
          <w:u w:val="single"/>
        </w:rPr>
      </w:pPr>
    </w:p>
    <w:p w:rsidR="00EB02C2" w:rsidRDefault="00A33EDF" w:rsidP="00EB02C2">
      <w:pPr>
        <w:autoSpaceDE w:val="0"/>
        <w:autoSpaceDN w:val="0"/>
        <w:adjustRightInd w:val="0"/>
      </w:pPr>
      <w:r>
        <w:t>This course enables students to 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p>
    <w:p w:rsidR="00F90C26" w:rsidRPr="00A930BF" w:rsidRDefault="00F90C26" w:rsidP="00EB02C2">
      <w:pPr>
        <w:autoSpaceDE w:val="0"/>
        <w:autoSpaceDN w:val="0"/>
        <w:adjustRightInd w:val="0"/>
        <w:rPr>
          <w:rFonts w:ascii="Cambria" w:hAnsi="Cambria" w:cs="Palatino-Roman"/>
          <w:sz w:val="22"/>
          <w:szCs w:val="20"/>
        </w:rPr>
      </w:pPr>
    </w:p>
    <w:p w:rsidR="00EB02C2" w:rsidRPr="00A930BF" w:rsidRDefault="00EB02C2" w:rsidP="00EB02C2">
      <w:pPr>
        <w:autoSpaceDE w:val="0"/>
        <w:autoSpaceDN w:val="0"/>
        <w:adjustRightInd w:val="0"/>
        <w:rPr>
          <w:rFonts w:ascii="Cambria" w:hAnsi="Cambria" w:cs="MyriadMM"/>
          <w:b/>
          <w:sz w:val="28"/>
          <w:u w:val="single"/>
        </w:rPr>
      </w:pPr>
      <w:r w:rsidRPr="00A930BF">
        <w:rPr>
          <w:rFonts w:ascii="Cambria" w:hAnsi="Cambria" w:cs="MyriadMM"/>
          <w:b/>
          <w:sz w:val="28"/>
          <w:u w:val="single"/>
        </w:rPr>
        <w:t>Course Strands and Major Themes</w:t>
      </w:r>
    </w:p>
    <w:p w:rsidR="00A33EDF" w:rsidRPr="00D75788" w:rsidRDefault="00A33EDF" w:rsidP="00EB02C2">
      <w:pPr>
        <w:rPr>
          <w:b/>
          <w:i/>
        </w:rPr>
      </w:pPr>
      <w:r w:rsidRPr="00D75788">
        <w:rPr>
          <w:b/>
          <w:i/>
        </w:rPr>
        <w:t xml:space="preserve">Organic Chemistry </w:t>
      </w:r>
    </w:p>
    <w:p w:rsidR="00D75788" w:rsidRDefault="00A33EDF" w:rsidP="00D75788">
      <w:pPr>
        <w:numPr>
          <w:ilvl w:val="0"/>
          <w:numId w:val="14"/>
        </w:numPr>
      </w:pPr>
      <w:r>
        <w:t xml:space="preserve">Organic compounds have predictable chemical and physical properties </w:t>
      </w:r>
      <w:r w:rsidR="0092189E">
        <w:t xml:space="preserve">are </w:t>
      </w:r>
      <w:r>
        <w:t xml:space="preserve">determined by their respective structures. </w:t>
      </w:r>
    </w:p>
    <w:p w:rsidR="00A33EDF" w:rsidRDefault="00A33EDF" w:rsidP="00D75788">
      <w:pPr>
        <w:numPr>
          <w:ilvl w:val="0"/>
          <w:numId w:val="14"/>
        </w:numPr>
      </w:pPr>
      <w:r>
        <w:t xml:space="preserve">Organic chemical reactions and their applications have significant implications for society, human health, and the environment. </w:t>
      </w:r>
    </w:p>
    <w:p w:rsidR="00A33EDF" w:rsidRPr="00D75788" w:rsidRDefault="00A33EDF" w:rsidP="00EB02C2">
      <w:pPr>
        <w:rPr>
          <w:b/>
          <w:i/>
        </w:rPr>
      </w:pPr>
      <w:r w:rsidRPr="00D75788">
        <w:rPr>
          <w:b/>
          <w:i/>
        </w:rPr>
        <w:t xml:space="preserve">Structure and Properties of Matter </w:t>
      </w:r>
    </w:p>
    <w:p w:rsidR="00D75788" w:rsidRDefault="00A33EDF" w:rsidP="00D75788">
      <w:pPr>
        <w:numPr>
          <w:ilvl w:val="0"/>
          <w:numId w:val="15"/>
        </w:numPr>
      </w:pPr>
      <w:r>
        <w:t xml:space="preserve">The nature of the attractive forces that exist between particles in a substance determines the properties and limits the uses of that substance. </w:t>
      </w:r>
    </w:p>
    <w:p w:rsidR="00D75788" w:rsidRDefault="00A33EDF" w:rsidP="00D75788">
      <w:pPr>
        <w:numPr>
          <w:ilvl w:val="0"/>
          <w:numId w:val="15"/>
        </w:numPr>
      </w:pPr>
      <w:r>
        <w:t xml:space="preserve">Technological devices that are based on the principles of atomic and molecular structures can have societal benefits and costs. </w:t>
      </w:r>
    </w:p>
    <w:p w:rsidR="00A33EDF" w:rsidRDefault="00A33EDF" w:rsidP="00EB02C2">
      <w:r w:rsidRPr="00D75788">
        <w:rPr>
          <w:b/>
          <w:i/>
        </w:rPr>
        <w:t>Energy Changes and Rates of Reaction</w:t>
      </w:r>
      <w:r>
        <w:t xml:space="preserve"> </w:t>
      </w:r>
    </w:p>
    <w:p w:rsidR="00D75788" w:rsidRDefault="00A33EDF" w:rsidP="00D75788">
      <w:pPr>
        <w:numPr>
          <w:ilvl w:val="0"/>
          <w:numId w:val="16"/>
        </w:numPr>
      </w:pPr>
      <w:r>
        <w:t xml:space="preserve">Energy changes and rates of chemical reactions </w:t>
      </w:r>
      <w:r w:rsidR="0092189E">
        <w:t>are</w:t>
      </w:r>
      <w:r>
        <w:t xml:space="preserve"> described quantitatively.</w:t>
      </w:r>
    </w:p>
    <w:p w:rsidR="00D75788" w:rsidRDefault="00A33EDF" w:rsidP="00D75788">
      <w:pPr>
        <w:numPr>
          <w:ilvl w:val="0"/>
          <w:numId w:val="16"/>
        </w:numPr>
      </w:pPr>
      <w:r>
        <w:t xml:space="preserve">Efficiency of chemical reactions </w:t>
      </w:r>
      <w:r w:rsidR="0092189E">
        <w:t>are</w:t>
      </w:r>
      <w:r>
        <w:t xml:space="preserve"> improved by applying optimal conditions. </w:t>
      </w:r>
    </w:p>
    <w:p w:rsidR="00A33EDF" w:rsidRDefault="00A33EDF" w:rsidP="00D75788">
      <w:pPr>
        <w:numPr>
          <w:ilvl w:val="0"/>
          <w:numId w:val="16"/>
        </w:numPr>
      </w:pPr>
      <w:r>
        <w:t xml:space="preserve">Technologies that transform energy can have societal and environmental costs and benefits. </w:t>
      </w:r>
    </w:p>
    <w:p w:rsidR="00A33EDF" w:rsidRPr="00D75788" w:rsidRDefault="00A33EDF" w:rsidP="00EB02C2">
      <w:pPr>
        <w:rPr>
          <w:b/>
          <w:i/>
        </w:rPr>
      </w:pPr>
      <w:r w:rsidRPr="00D75788">
        <w:rPr>
          <w:b/>
          <w:i/>
        </w:rPr>
        <w:t xml:space="preserve">Chemical Systems and Equilibrium </w:t>
      </w:r>
    </w:p>
    <w:p w:rsidR="00D75788" w:rsidRDefault="00A33EDF" w:rsidP="00D75788">
      <w:pPr>
        <w:numPr>
          <w:ilvl w:val="0"/>
          <w:numId w:val="17"/>
        </w:numPr>
      </w:pPr>
      <w:r>
        <w:t>Chemical systems are dynamic and respond to changing conditions in predictable ways.</w:t>
      </w:r>
    </w:p>
    <w:p w:rsidR="00D75788" w:rsidRDefault="00A33EDF" w:rsidP="00EB02C2">
      <w:pPr>
        <w:numPr>
          <w:ilvl w:val="0"/>
          <w:numId w:val="17"/>
        </w:numPr>
      </w:pPr>
      <w:r>
        <w:t xml:space="preserve"> Applications of chemical systems at equilibrium have significant implications for nature and industry.</w:t>
      </w:r>
    </w:p>
    <w:p w:rsidR="00A33EDF" w:rsidRPr="00D75788" w:rsidRDefault="00A33EDF" w:rsidP="00EB02C2">
      <w:pPr>
        <w:rPr>
          <w:b/>
          <w:i/>
        </w:rPr>
      </w:pPr>
      <w:r w:rsidRPr="00D75788">
        <w:rPr>
          <w:b/>
          <w:i/>
        </w:rPr>
        <w:t>Electrochemistry</w:t>
      </w:r>
    </w:p>
    <w:p w:rsidR="00D75788" w:rsidRDefault="00A33EDF" w:rsidP="00D75788">
      <w:pPr>
        <w:numPr>
          <w:ilvl w:val="0"/>
          <w:numId w:val="18"/>
        </w:numPr>
      </w:pPr>
      <w:r>
        <w:t>Oxidation and reduction are paired chemical reactions in which electrons are transferred from one substance to another in a predictable way.</w:t>
      </w:r>
    </w:p>
    <w:p w:rsidR="00A33EDF" w:rsidRDefault="00A33EDF" w:rsidP="00EB02C2">
      <w:pPr>
        <w:numPr>
          <w:ilvl w:val="0"/>
          <w:numId w:val="18"/>
        </w:numPr>
      </w:pPr>
      <w:r>
        <w:t>The control and applications of oxidation and reduction reactions have significant implications for industry, health and safety, and the environment.</w:t>
      </w:r>
    </w:p>
    <w:p w:rsidR="001456BC" w:rsidRPr="003A07C9" w:rsidRDefault="001456BC" w:rsidP="00EB02C2">
      <w:pPr>
        <w:numPr>
          <w:ilvl w:val="0"/>
          <w:numId w:val="18"/>
        </w:numPr>
      </w:pPr>
    </w:p>
    <w:p w:rsidR="00EB02C2" w:rsidRPr="00A930BF" w:rsidRDefault="00EB02C2" w:rsidP="00EB02C2">
      <w:pPr>
        <w:rPr>
          <w:rFonts w:ascii="Cambria" w:hAnsi="Cambria"/>
          <w:b/>
          <w:bCs/>
          <w:sz w:val="28"/>
          <w:u w:val="single"/>
        </w:rPr>
      </w:pPr>
      <w:r w:rsidRPr="00A930BF">
        <w:rPr>
          <w:rFonts w:ascii="Cambria" w:hAnsi="Cambria"/>
          <w:b/>
          <w:bCs/>
          <w:sz w:val="28"/>
          <w:u w:val="single"/>
        </w:rPr>
        <w:lastRenderedPageBreak/>
        <w:t>Evaluation</w:t>
      </w:r>
    </w:p>
    <w:p w:rsidR="00EB02C2" w:rsidRPr="00A930BF" w:rsidRDefault="00EB02C2" w:rsidP="00EB02C2">
      <w:pPr>
        <w:autoSpaceDE w:val="0"/>
        <w:autoSpaceDN w:val="0"/>
        <w:adjustRightInd w:val="0"/>
        <w:rPr>
          <w:rFonts w:ascii="Cambria" w:hAnsi="Cambria"/>
          <w:sz w:val="22"/>
          <w:szCs w:val="20"/>
        </w:rPr>
      </w:pPr>
      <w:r w:rsidRPr="00A930BF">
        <w:rPr>
          <w:rFonts w:ascii="Cambria" w:hAnsi="Cambria"/>
          <w:sz w:val="22"/>
          <w:szCs w:val="20"/>
        </w:rPr>
        <w:t>Final Mark = 70% term work + 30% Summative</w:t>
      </w:r>
    </w:p>
    <w:p w:rsidR="00EB02C2" w:rsidRPr="00A930BF" w:rsidRDefault="00EB02C2" w:rsidP="00EB02C2">
      <w:pPr>
        <w:autoSpaceDE w:val="0"/>
        <w:autoSpaceDN w:val="0"/>
        <w:adjustRightInd w:val="0"/>
        <w:rPr>
          <w:rFonts w:ascii="Cambria" w:hAnsi="Cambria"/>
          <w:sz w:val="22"/>
          <w:szCs w:val="20"/>
        </w:rPr>
      </w:pPr>
    </w:p>
    <w:p w:rsidR="00EB02C2" w:rsidRPr="00A930BF" w:rsidRDefault="00EB02C2" w:rsidP="00EB02C2">
      <w:pPr>
        <w:autoSpaceDE w:val="0"/>
        <w:autoSpaceDN w:val="0"/>
        <w:adjustRightInd w:val="0"/>
        <w:rPr>
          <w:rFonts w:ascii="Cambria" w:hAnsi="Cambria"/>
          <w:b/>
          <w:sz w:val="28"/>
          <w:u w:val="single"/>
        </w:rPr>
      </w:pPr>
      <w:r w:rsidRPr="00A930BF">
        <w:rPr>
          <w:rFonts w:ascii="Cambria" w:hAnsi="Cambria"/>
          <w:b/>
          <w:sz w:val="28"/>
          <w:u w:val="single"/>
        </w:rPr>
        <w:t>Weighting of Achievement Categories</w:t>
      </w:r>
    </w:p>
    <w:p w:rsidR="00EB02C2" w:rsidRPr="00A930BF" w:rsidRDefault="00EB02C2" w:rsidP="00EB02C2">
      <w:pPr>
        <w:autoSpaceDE w:val="0"/>
        <w:autoSpaceDN w:val="0"/>
        <w:adjustRightInd w:val="0"/>
        <w:rPr>
          <w:rFonts w:ascii="Cambria" w:hAnsi="Cambria"/>
          <w:b/>
          <w:sz w:val="22"/>
          <w:szCs w:val="20"/>
        </w:rPr>
      </w:pPr>
      <w:r w:rsidRPr="00A930BF">
        <w:rPr>
          <w:rFonts w:ascii="Cambria" w:hAnsi="Cambria"/>
          <w:b/>
          <w:sz w:val="22"/>
          <w:szCs w:val="20"/>
        </w:rPr>
        <w:t>Knowledge and Understanding</w:t>
      </w:r>
      <w:r w:rsidRPr="00A930BF">
        <w:rPr>
          <w:rFonts w:ascii="Cambria" w:hAnsi="Cambria"/>
          <w:b/>
          <w:sz w:val="22"/>
          <w:szCs w:val="20"/>
        </w:rPr>
        <w:tab/>
      </w:r>
      <w:r w:rsidRPr="00A930BF">
        <w:rPr>
          <w:rFonts w:ascii="Cambria" w:hAnsi="Cambria"/>
          <w:b/>
          <w:sz w:val="22"/>
          <w:szCs w:val="20"/>
        </w:rPr>
        <w:tab/>
      </w:r>
      <w:r w:rsidRPr="00A930BF">
        <w:rPr>
          <w:rFonts w:ascii="Cambria" w:hAnsi="Cambria"/>
          <w:b/>
          <w:sz w:val="22"/>
          <w:szCs w:val="20"/>
        </w:rPr>
        <w:tab/>
        <w:t xml:space="preserve"> 30%</w:t>
      </w:r>
    </w:p>
    <w:p w:rsidR="00EB02C2" w:rsidRPr="00A930BF" w:rsidRDefault="00EB02C2" w:rsidP="00B2431B">
      <w:pPr>
        <w:numPr>
          <w:ilvl w:val="0"/>
          <w:numId w:val="1"/>
        </w:numPr>
        <w:autoSpaceDE w:val="0"/>
        <w:autoSpaceDN w:val="0"/>
        <w:adjustRightInd w:val="0"/>
        <w:rPr>
          <w:rFonts w:ascii="Cambria" w:hAnsi="Cambria"/>
          <w:sz w:val="22"/>
          <w:szCs w:val="20"/>
        </w:rPr>
      </w:pPr>
      <w:r w:rsidRPr="00A930BF">
        <w:rPr>
          <w:rFonts w:ascii="Cambria" w:hAnsi="Cambria"/>
          <w:sz w:val="22"/>
          <w:szCs w:val="20"/>
        </w:rPr>
        <w:t>knowledge of content (e.g., facts, terminology, definitions, safe use of equipment and materials)</w:t>
      </w:r>
    </w:p>
    <w:p w:rsidR="00EB02C2" w:rsidRPr="00A930BF" w:rsidRDefault="00EB02C2" w:rsidP="00B2431B">
      <w:pPr>
        <w:numPr>
          <w:ilvl w:val="0"/>
          <w:numId w:val="1"/>
        </w:numPr>
        <w:autoSpaceDE w:val="0"/>
        <w:autoSpaceDN w:val="0"/>
        <w:adjustRightInd w:val="0"/>
        <w:rPr>
          <w:rFonts w:ascii="Cambria" w:hAnsi="Cambria"/>
          <w:sz w:val="22"/>
          <w:szCs w:val="20"/>
        </w:rPr>
      </w:pPr>
      <w:r w:rsidRPr="00A930BF">
        <w:rPr>
          <w:rFonts w:ascii="Cambria" w:hAnsi="Cambria"/>
          <w:sz w:val="22"/>
          <w:szCs w:val="20"/>
        </w:rPr>
        <w:t>understanding of content (e.g., concepts, ideas, theories, principles, procedures, processes)</w:t>
      </w:r>
    </w:p>
    <w:p w:rsidR="00EB02C2" w:rsidRPr="00A930BF" w:rsidRDefault="00EB02C2" w:rsidP="00EB02C2">
      <w:pPr>
        <w:autoSpaceDE w:val="0"/>
        <w:autoSpaceDN w:val="0"/>
        <w:adjustRightInd w:val="0"/>
        <w:rPr>
          <w:rFonts w:ascii="Cambria" w:hAnsi="Cambria"/>
          <w:sz w:val="22"/>
          <w:szCs w:val="20"/>
        </w:rPr>
      </w:pPr>
    </w:p>
    <w:p w:rsidR="00EB02C2" w:rsidRPr="00A930BF" w:rsidRDefault="00EB02C2" w:rsidP="00EB02C2">
      <w:pPr>
        <w:autoSpaceDE w:val="0"/>
        <w:autoSpaceDN w:val="0"/>
        <w:adjustRightInd w:val="0"/>
        <w:rPr>
          <w:rFonts w:ascii="Cambria" w:hAnsi="Cambria"/>
          <w:b/>
          <w:sz w:val="22"/>
          <w:szCs w:val="20"/>
        </w:rPr>
      </w:pPr>
      <w:r w:rsidRPr="00A930BF">
        <w:rPr>
          <w:rFonts w:ascii="Cambria" w:hAnsi="Cambria"/>
          <w:b/>
          <w:sz w:val="22"/>
          <w:szCs w:val="20"/>
        </w:rPr>
        <w:t>Thinking, Inquiry, Problem Solving</w:t>
      </w:r>
      <w:r w:rsidRPr="00A930BF">
        <w:rPr>
          <w:rFonts w:ascii="Cambria" w:hAnsi="Cambria"/>
          <w:b/>
          <w:sz w:val="22"/>
          <w:szCs w:val="20"/>
        </w:rPr>
        <w:tab/>
      </w:r>
      <w:r w:rsidRPr="00A930BF">
        <w:rPr>
          <w:rFonts w:ascii="Cambria" w:hAnsi="Cambria"/>
          <w:b/>
          <w:sz w:val="22"/>
          <w:szCs w:val="20"/>
        </w:rPr>
        <w:tab/>
      </w:r>
      <w:r>
        <w:rPr>
          <w:rFonts w:ascii="Cambria" w:hAnsi="Cambria"/>
          <w:b/>
          <w:sz w:val="22"/>
          <w:szCs w:val="20"/>
        </w:rPr>
        <w:tab/>
      </w:r>
      <w:r w:rsidRPr="00A930BF">
        <w:rPr>
          <w:rFonts w:ascii="Cambria" w:hAnsi="Cambria"/>
          <w:b/>
          <w:sz w:val="22"/>
          <w:szCs w:val="20"/>
        </w:rPr>
        <w:t xml:space="preserve"> </w:t>
      </w:r>
      <w:r w:rsidR="003A07C9">
        <w:rPr>
          <w:rFonts w:ascii="Cambria" w:hAnsi="Cambria"/>
          <w:b/>
          <w:sz w:val="22"/>
          <w:szCs w:val="20"/>
        </w:rPr>
        <w:t>25</w:t>
      </w:r>
      <w:r w:rsidRPr="00A930BF">
        <w:rPr>
          <w:rFonts w:ascii="Cambria" w:hAnsi="Cambria"/>
          <w:b/>
          <w:sz w:val="22"/>
          <w:szCs w:val="20"/>
        </w:rPr>
        <w:t>%</w:t>
      </w:r>
    </w:p>
    <w:p w:rsidR="00EB02C2" w:rsidRPr="00A930BF" w:rsidRDefault="00EB02C2" w:rsidP="00B2431B">
      <w:pPr>
        <w:numPr>
          <w:ilvl w:val="0"/>
          <w:numId w:val="2"/>
        </w:numPr>
        <w:autoSpaceDE w:val="0"/>
        <w:autoSpaceDN w:val="0"/>
        <w:adjustRightInd w:val="0"/>
        <w:rPr>
          <w:rFonts w:ascii="Cambria" w:hAnsi="Cambria"/>
          <w:sz w:val="22"/>
          <w:szCs w:val="20"/>
        </w:rPr>
      </w:pPr>
      <w:r w:rsidRPr="00A930BF">
        <w:rPr>
          <w:rFonts w:ascii="Cambria" w:hAnsi="Cambria"/>
          <w:sz w:val="22"/>
          <w:szCs w:val="20"/>
        </w:rPr>
        <w:t>use of initiating and planning skills and strategies (e.g., formulating questions, identifying the problem, developing hypotheses, selecting strategies and resources, developing plans)</w:t>
      </w:r>
    </w:p>
    <w:p w:rsidR="00EB02C2" w:rsidRPr="00A930BF" w:rsidRDefault="00EB02C2" w:rsidP="00B2431B">
      <w:pPr>
        <w:numPr>
          <w:ilvl w:val="0"/>
          <w:numId w:val="2"/>
        </w:numPr>
        <w:autoSpaceDE w:val="0"/>
        <w:autoSpaceDN w:val="0"/>
        <w:adjustRightInd w:val="0"/>
        <w:rPr>
          <w:rFonts w:ascii="Cambria" w:hAnsi="Cambria"/>
          <w:sz w:val="22"/>
          <w:szCs w:val="20"/>
        </w:rPr>
      </w:pPr>
      <w:r w:rsidRPr="00A930BF">
        <w:rPr>
          <w:rFonts w:ascii="Cambria" w:hAnsi="Cambria"/>
          <w:sz w:val="22"/>
          <w:szCs w:val="20"/>
        </w:rPr>
        <w:t>use of processing skills and strategies (e.g., performing and recording, gathering evidence and data, observing, manipulating materials and using equipment safely, solving equations, proving)</w:t>
      </w:r>
    </w:p>
    <w:p w:rsidR="00EB02C2" w:rsidRPr="00A930BF" w:rsidRDefault="00EB02C2" w:rsidP="00B2431B">
      <w:pPr>
        <w:numPr>
          <w:ilvl w:val="0"/>
          <w:numId w:val="2"/>
        </w:numPr>
        <w:autoSpaceDE w:val="0"/>
        <w:autoSpaceDN w:val="0"/>
        <w:adjustRightInd w:val="0"/>
        <w:rPr>
          <w:rFonts w:ascii="Cambria" w:hAnsi="Cambria"/>
          <w:sz w:val="22"/>
          <w:szCs w:val="20"/>
        </w:rPr>
      </w:pPr>
      <w:r w:rsidRPr="00A930BF">
        <w:rPr>
          <w:rFonts w:ascii="Cambria" w:hAnsi="Cambria"/>
          <w:sz w:val="22"/>
          <w:szCs w:val="20"/>
        </w:rPr>
        <w:t>use of critical/creative thinking processes, skills, and strategies (e.g., analysing, interpreting, problem solving, evaluating, forming and justifying conclusions on the basis of evidence)</w:t>
      </w:r>
    </w:p>
    <w:p w:rsidR="00EB02C2" w:rsidRPr="00A930BF" w:rsidRDefault="00EB02C2" w:rsidP="00EB02C2">
      <w:pPr>
        <w:autoSpaceDE w:val="0"/>
        <w:autoSpaceDN w:val="0"/>
        <w:adjustRightInd w:val="0"/>
        <w:rPr>
          <w:rFonts w:ascii="Cambria" w:hAnsi="Cambria"/>
          <w:sz w:val="22"/>
          <w:szCs w:val="20"/>
        </w:rPr>
      </w:pPr>
    </w:p>
    <w:p w:rsidR="003A07C9" w:rsidRPr="00A930BF" w:rsidRDefault="003A07C9" w:rsidP="003A07C9">
      <w:pPr>
        <w:autoSpaceDE w:val="0"/>
        <w:autoSpaceDN w:val="0"/>
        <w:adjustRightInd w:val="0"/>
        <w:rPr>
          <w:rFonts w:ascii="Cambria" w:hAnsi="Cambria"/>
          <w:b/>
          <w:sz w:val="22"/>
          <w:szCs w:val="20"/>
        </w:rPr>
      </w:pPr>
      <w:r>
        <w:rPr>
          <w:rFonts w:ascii="Cambria" w:hAnsi="Cambria"/>
          <w:b/>
          <w:sz w:val="22"/>
          <w:szCs w:val="20"/>
        </w:rPr>
        <w:t>Applications</w:t>
      </w:r>
      <w:r>
        <w:rPr>
          <w:rFonts w:ascii="Cambria" w:hAnsi="Cambria"/>
          <w:b/>
          <w:sz w:val="22"/>
          <w:szCs w:val="20"/>
        </w:rPr>
        <w:tab/>
      </w:r>
      <w:r>
        <w:rPr>
          <w:rFonts w:ascii="Cambria" w:hAnsi="Cambria"/>
          <w:b/>
          <w:sz w:val="22"/>
          <w:szCs w:val="20"/>
        </w:rPr>
        <w:tab/>
      </w:r>
      <w:r>
        <w:rPr>
          <w:rFonts w:ascii="Cambria" w:hAnsi="Cambria"/>
          <w:b/>
          <w:sz w:val="22"/>
          <w:szCs w:val="20"/>
        </w:rPr>
        <w:tab/>
      </w:r>
      <w:r>
        <w:rPr>
          <w:rFonts w:ascii="Cambria" w:hAnsi="Cambria"/>
          <w:b/>
          <w:sz w:val="22"/>
          <w:szCs w:val="20"/>
        </w:rPr>
        <w:tab/>
      </w:r>
      <w:r>
        <w:rPr>
          <w:rFonts w:ascii="Cambria" w:hAnsi="Cambria"/>
          <w:b/>
          <w:sz w:val="22"/>
          <w:szCs w:val="20"/>
        </w:rPr>
        <w:tab/>
      </w:r>
      <w:r>
        <w:rPr>
          <w:rFonts w:ascii="Cambria" w:hAnsi="Cambria"/>
          <w:b/>
          <w:sz w:val="22"/>
          <w:szCs w:val="20"/>
        </w:rPr>
        <w:tab/>
        <w:t xml:space="preserve"> 25</w:t>
      </w:r>
      <w:r w:rsidRPr="00A930BF">
        <w:rPr>
          <w:rFonts w:ascii="Cambria" w:hAnsi="Cambria"/>
          <w:b/>
          <w:sz w:val="22"/>
          <w:szCs w:val="20"/>
        </w:rPr>
        <w:t>%</w:t>
      </w:r>
    </w:p>
    <w:p w:rsidR="003A07C9" w:rsidRPr="00A930BF" w:rsidRDefault="003A07C9" w:rsidP="003A07C9">
      <w:pPr>
        <w:numPr>
          <w:ilvl w:val="0"/>
          <w:numId w:val="4"/>
        </w:numPr>
        <w:autoSpaceDE w:val="0"/>
        <w:autoSpaceDN w:val="0"/>
        <w:adjustRightInd w:val="0"/>
        <w:rPr>
          <w:rFonts w:ascii="Cambria" w:hAnsi="Cambria"/>
          <w:sz w:val="22"/>
          <w:szCs w:val="20"/>
        </w:rPr>
      </w:pPr>
      <w:r w:rsidRPr="00A930BF">
        <w:rPr>
          <w:rFonts w:ascii="Cambria" w:hAnsi="Cambria"/>
          <w:sz w:val="22"/>
          <w:szCs w:val="20"/>
        </w:rPr>
        <w:t>application of knowledge and skills (e.g., concepts and processes, safe use of equipment, scientific investigation skills) in familiar contexts</w:t>
      </w:r>
    </w:p>
    <w:p w:rsidR="003A07C9" w:rsidRPr="00A930BF" w:rsidRDefault="003A07C9" w:rsidP="003A07C9">
      <w:pPr>
        <w:numPr>
          <w:ilvl w:val="0"/>
          <w:numId w:val="4"/>
        </w:numPr>
        <w:autoSpaceDE w:val="0"/>
        <w:autoSpaceDN w:val="0"/>
        <w:adjustRightInd w:val="0"/>
        <w:rPr>
          <w:rFonts w:ascii="Cambria" w:hAnsi="Cambria"/>
          <w:sz w:val="22"/>
          <w:szCs w:val="20"/>
        </w:rPr>
      </w:pPr>
      <w:r w:rsidRPr="00A930BF">
        <w:rPr>
          <w:rFonts w:ascii="Cambria" w:hAnsi="Cambria"/>
          <w:sz w:val="22"/>
          <w:szCs w:val="20"/>
        </w:rPr>
        <w:t>transfer of knowledge and skills (e.g., concepts and processes, safe use of equipment, scientific investigation skills) to unfamiliar contexts</w:t>
      </w:r>
    </w:p>
    <w:p w:rsidR="003A07C9" w:rsidRPr="00A930BF" w:rsidRDefault="003A07C9" w:rsidP="003A07C9">
      <w:pPr>
        <w:numPr>
          <w:ilvl w:val="0"/>
          <w:numId w:val="4"/>
        </w:numPr>
        <w:autoSpaceDE w:val="0"/>
        <w:autoSpaceDN w:val="0"/>
        <w:adjustRightInd w:val="0"/>
        <w:rPr>
          <w:rFonts w:ascii="Cambria" w:hAnsi="Cambria"/>
          <w:sz w:val="22"/>
          <w:szCs w:val="20"/>
        </w:rPr>
      </w:pPr>
      <w:r w:rsidRPr="00A930BF">
        <w:rPr>
          <w:rFonts w:ascii="Cambria" w:hAnsi="Cambria"/>
          <w:sz w:val="22"/>
          <w:szCs w:val="20"/>
        </w:rPr>
        <w:t>making connections between science, technology, society, and the environment (e.g., assessing the impact of science on technology, people and other living things, and the environment)</w:t>
      </w:r>
    </w:p>
    <w:p w:rsidR="003A07C9" w:rsidRPr="00A930BF" w:rsidRDefault="003A07C9" w:rsidP="003A07C9">
      <w:pPr>
        <w:numPr>
          <w:ilvl w:val="0"/>
          <w:numId w:val="4"/>
        </w:numPr>
        <w:autoSpaceDE w:val="0"/>
        <w:autoSpaceDN w:val="0"/>
        <w:adjustRightInd w:val="0"/>
        <w:rPr>
          <w:rFonts w:ascii="Cambria" w:hAnsi="Cambria"/>
          <w:sz w:val="22"/>
          <w:szCs w:val="20"/>
        </w:rPr>
      </w:pPr>
      <w:r w:rsidRPr="00A930BF">
        <w:rPr>
          <w:rFonts w:ascii="Cambria" w:hAnsi="Cambria"/>
          <w:sz w:val="22"/>
          <w:szCs w:val="20"/>
        </w:rPr>
        <w:t>proposing courses of practical action to deal with problems relating to science, technology, society, and the environment</w:t>
      </w:r>
    </w:p>
    <w:p w:rsidR="003A07C9" w:rsidRDefault="003A07C9" w:rsidP="00EB02C2">
      <w:pPr>
        <w:autoSpaceDE w:val="0"/>
        <w:autoSpaceDN w:val="0"/>
        <w:adjustRightInd w:val="0"/>
        <w:rPr>
          <w:rFonts w:ascii="Cambria" w:hAnsi="Cambria"/>
          <w:b/>
          <w:sz w:val="22"/>
          <w:szCs w:val="20"/>
        </w:rPr>
      </w:pPr>
    </w:p>
    <w:p w:rsidR="00EB02C2" w:rsidRPr="00A930BF" w:rsidRDefault="00EB02C2" w:rsidP="00EB02C2">
      <w:pPr>
        <w:autoSpaceDE w:val="0"/>
        <w:autoSpaceDN w:val="0"/>
        <w:adjustRightInd w:val="0"/>
        <w:rPr>
          <w:rFonts w:ascii="Cambria" w:hAnsi="Cambria"/>
          <w:b/>
          <w:sz w:val="22"/>
          <w:szCs w:val="20"/>
        </w:rPr>
      </w:pPr>
      <w:r w:rsidRPr="00A930BF">
        <w:rPr>
          <w:rFonts w:ascii="Cambria" w:hAnsi="Cambria"/>
          <w:b/>
          <w:sz w:val="22"/>
          <w:szCs w:val="20"/>
        </w:rPr>
        <w:t>Communication</w:t>
      </w:r>
      <w:r w:rsidRPr="00A930BF">
        <w:rPr>
          <w:rFonts w:ascii="Cambria" w:hAnsi="Cambria"/>
          <w:b/>
          <w:sz w:val="22"/>
          <w:szCs w:val="20"/>
        </w:rPr>
        <w:tab/>
      </w:r>
      <w:r w:rsidRPr="00A930BF">
        <w:rPr>
          <w:rFonts w:ascii="Cambria" w:hAnsi="Cambria"/>
          <w:b/>
          <w:sz w:val="22"/>
          <w:szCs w:val="20"/>
        </w:rPr>
        <w:tab/>
      </w:r>
      <w:r w:rsidRPr="00A930BF">
        <w:rPr>
          <w:rFonts w:ascii="Cambria" w:hAnsi="Cambria"/>
          <w:b/>
          <w:sz w:val="22"/>
          <w:szCs w:val="20"/>
        </w:rPr>
        <w:tab/>
      </w:r>
      <w:r w:rsidRPr="00A930BF">
        <w:rPr>
          <w:rFonts w:ascii="Cambria" w:hAnsi="Cambria"/>
          <w:b/>
          <w:sz w:val="22"/>
          <w:szCs w:val="20"/>
        </w:rPr>
        <w:tab/>
      </w:r>
      <w:r w:rsidRPr="00A930BF">
        <w:rPr>
          <w:rFonts w:ascii="Cambria" w:hAnsi="Cambria"/>
          <w:b/>
          <w:sz w:val="22"/>
          <w:szCs w:val="20"/>
        </w:rPr>
        <w:tab/>
        <w:t xml:space="preserve"> 20%</w:t>
      </w:r>
    </w:p>
    <w:p w:rsidR="00EB02C2" w:rsidRPr="00A930BF" w:rsidRDefault="00EB02C2" w:rsidP="00B2431B">
      <w:pPr>
        <w:numPr>
          <w:ilvl w:val="0"/>
          <w:numId w:val="3"/>
        </w:numPr>
        <w:autoSpaceDE w:val="0"/>
        <w:autoSpaceDN w:val="0"/>
        <w:adjustRightInd w:val="0"/>
        <w:rPr>
          <w:rFonts w:ascii="Cambria" w:hAnsi="Cambria"/>
          <w:sz w:val="22"/>
          <w:szCs w:val="20"/>
        </w:rPr>
      </w:pPr>
      <w:r w:rsidRPr="00A930BF">
        <w:rPr>
          <w:rFonts w:ascii="Cambria" w:hAnsi="Cambria"/>
          <w:sz w:val="22"/>
          <w:szCs w:val="20"/>
        </w:rPr>
        <w:t>expression and organization of ideas and information (e.g., clear expression, logical organization) in oral, visual, and/or written forms (e.g., diagrams, models)</w:t>
      </w:r>
    </w:p>
    <w:p w:rsidR="00EB02C2" w:rsidRPr="00A930BF" w:rsidRDefault="00EB02C2" w:rsidP="00B2431B">
      <w:pPr>
        <w:numPr>
          <w:ilvl w:val="0"/>
          <w:numId w:val="3"/>
        </w:numPr>
        <w:autoSpaceDE w:val="0"/>
        <w:autoSpaceDN w:val="0"/>
        <w:adjustRightInd w:val="0"/>
        <w:rPr>
          <w:rFonts w:ascii="Cambria" w:hAnsi="Cambria"/>
          <w:sz w:val="22"/>
          <w:szCs w:val="20"/>
        </w:rPr>
      </w:pPr>
      <w:r w:rsidRPr="00A930BF">
        <w:rPr>
          <w:rFonts w:ascii="Cambria" w:hAnsi="Cambria"/>
          <w:sz w:val="22"/>
          <w:szCs w:val="20"/>
        </w:rPr>
        <w:t>communication for different audiences (e.g., peers, adults) and purposes (e.g., to inform, to persuade) in oral, visual, and/or written forms</w:t>
      </w:r>
    </w:p>
    <w:p w:rsidR="00EB02C2" w:rsidRDefault="00EB02C2" w:rsidP="00B2431B">
      <w:pPr>
        <w:numPr>
          <w:ilvl w:val="0"/>
          <w:numId w:val="3"/>
        </w:numPr>
        <w:autoSpaceDE w:val="0"/>
        <w:autoSpaceDN w:val="0"/>
        <w:adjustRightInd w:val="0"/>
        <w:rPr>
          <w:rFonts w:ascii="Cambria" w:hAnsi="Cambria"/>
          <w:sz w:val="22"/>
          <w:szCs w:val="20"/>
        </w:rPr>
      </w:pPr>
      <w:r w:rsidRPr="00A930BF">
        <w:rPr>
          <w:rFonts w:ascii="Cambria" w:hAnsi="Cambria"/>
          <w:sz w:val="22"/>
          <w:szCs w:val="20"/>
        </w:rPr>
        <w:t>use of conventions, vocabulary, and terminology of the discipline in oral, visual, and written forms (e.g., symbols, formulae, scientific notation, SI units)</w:t>
      </w:r>
    </w:p>
    <w:p w:rsidR="00EB02C2" w:rsidRPr="00A930BF" w:rsidRDefault="00EB02C2" w:rsidP="00EB02C2">
      <w:pPr>
        <w:autoSpaceDE w:val="0"/>
        <w:autoSpaceDN w:val="0"/>
        <w:adjustRightInd w:val="0"/>
        <w:rPr>
          <w:rFonts w:ascii="Cambria" w:hAnsi="Cambria"/>
          <w:sz w:val="22"/>
          <w:szCs w:val="20"/>
        </w:rPr>
      </w:pPr>
    </w:p>
    <w:p w:rsidR="00EB02C2" w:rsidRDefault="00EB02C2" w:rsidP="00EB02C2">
      <w:pPr>
        <w:autoSpaceDE w:val="0"/>
        <w:autoSpaceDN w:val="0"/>
        <w:adjustRightInd w:val="0"/>
        <w:rPr>
          <w:rFonts w:ascii="Cambria" w:hAnsi="Cambria"/>
          <w:sz w:val="22"/>
          <w:szCs w:val="20"/>
        </w:rPr>
      </w:pPr>
    </w:p>
    <w:p w:rsidR="004B106B" w:rsidRDefault="004B106B" w:rsidP="004B106B">
      <w:pPr>
        <w:pStyle w:val="Default"/>
        <w:rPr>
          <w:sz w:val="28"/>
          <w:szCs w:val="28"/>
        </w:rPr>
      </w:pPr>
      <w:r>
        <w:rPr>
          <w:b/>
          <w:bCs/>
          <w:sz w:val="28"/>
          <w:szCs w:val="28"/>
        </w:rPr>
        <w:t xml:space="preserve">Late Assignments </w:t>
      </w:r>
    </w:p>
    <w:p w:rsidR="004B106B" w:rsidRDefault="004B106B" w:rsidP="004B106B">
      <w:pPr>
        <w:autoSpaceDE w:val="0"/>
        <w:autoSpaceDN w:val="0"/>
        <w:adjustRightInd w:val="0"/>
        <w:rPr>
          <w:sz w:val="23"/>
          <w:szCs w:val="23"/>
        </w:rPr>
      </w:pPr>
      <w:r>
        <w:rPr>
          <w:sz w:val="23"/>
          <w:szCs w:val="23"/>
        </w:rPr>
        <w:t>Once the teacher has returned an assignment or has circulated its answers, students who have not submitted their work may no longer do so for credit. Usually, assignments that are eligible for credit are accepted without penalty even if they are late. However, in cases where penalties will be attached to the late submissions of assignments, students will be informed of the penalties in the relevant assignment’s instructions.</w:t>
      </w:r>
      <w:r w:rsidR="00B346D1">
        <w:rPr>
          <w:sz w:val="23"/>
          <w:szCs w:val="23"/>
        </w:rPr>
        <w:t xml:space="preserve"> Please refer to Richview’s</w:t>
      </w:r>
      <w:r w:rsidR="00447212">
        <w:rPr>
          <w:sz w:val="23"/>
          <w:szCs w:val="23"/>
        </w:rPr>
        <w:t xml:space="preserve"> </w:t>
      </w:r>
      <w:r w:rsidR="0092189E">
        <w:rPr>
          <w:sz w:val="23"/>
          <w:szCs w:val="23"/>
        </w:rPr>
        <w:t xml:space="preserve"> e</w:t>
      </w:r>
      <w:r w:rsidR="00B346D1">
        <w:rPr>
          <w:sz w:val="23"/>
          <w:szCs w:val="23"/>
        </w:rPr>
        <w:t>valuation policy for clarification.</w:t>
      </w:r>
    </w:p>
    <w:p w:rsidR="00EB02C2" w:rsidRPr="00A930BF" w:rsidRDefault="00EB02C2" w:rsidP="00EB02C2">
      <w:pPr>
        <w:autoSpaceDE w:val="0"/>
        <w:autoSpaceDN w:val="0"/>
        <w:adjustRightInd w:val="0"/>
        <w:rPr>
          <w:rFonts w:ascii="Cambria" w:hAnsi="Cambria"/>
          <w:sz w:val="22"/>
          <w:szCs w:val="20"/>
        </w:rPr>
      </w:pPr>
    </w:p>
    <w:p w:rsidR="00EB02C2" w:rsidRPr="00A930BF" w:rsidRDefault="00EB02C2" w:rsidP="00EB02C2">
      <w:pPr>
        <w:autoSpaceDE w:val="0"/>
        <w:autoSpaceDN w:val="0"/>
        <w:adjustRightInd w:val="0"/>
        <w:rPr>
          <w:rFonts w:ascii="Cambria" w:hAnsi="Cambria"/>
          <w:b/>
          <w:sz w:val="28"/>
          <w:u w:val="single"/>
        </w:rPr>
      </w:pPr>
      <w:r w:rsidRPr="00A930BF">
        <w:rPr>
          <w:rFonts w:ascii="Cambria" w:hAnsi="Cambria"/>
          <w:b/>
          <w:sz w:val="28"/>
          <w:u w:val="single"/>
        </w:rPr>
        <w:t>Lab Safety</w:t>
      </w:r>
    </w:p>
    <w:p w:rsidR="00EB02C2" w:rsidRDefault="00EB02C2" w:rsidP="00EB02C2">
      <w:pPr>
        <w:autoSpaceDE w:val="0"/>
        <w:autoSpaceDN w:val="0"/>
        <w:adjustRightInd w:val="0"/>
        <w:rPr>
          <w:rFonts w:ascii="Cambria" w:hAnsi="Cambria"/>
          <w:sz w:val="22"/>
          <w:szCs w:val="20"/>
        </w:rPr>
      </w:pPr>
      <w:r w:rsidRPr="00A930BF">
        <w:rPr>
          <w:rFonts w:ascii="Cambria" w:hAnsi="Cambria"/>
          <w:sz w:val="22"/>
          <w:szCs w:val="20"/>
        </w:rPr>
        <w:t>Students are expected to observe all safety procedures in the laboratory.  Students that jeopardise the safety of themselves or others may be restricted in their laboratory participation.</w:t>
      </w:r>
    </w:p>
    <w:p w:rsidR="001456BC" w:rsidRDefault="001456BC" w:rsidP="00EB02C2">
      <w:pPr>
        <w:autoSpaceDE w:val="0"/>
        <w:autoSpaceDN w:val="0"/>
        <w:adjustRightInd w:val="0"/>
        <w:rPr>
          <w:rFonts w:ascii="Cambria" w:hAnsi="Cambria"/>
          <w:sz w:val="22"/>
          <w:szCs w:val="20"/>
        </w:rPr>
      </w:pPr>
    </w:p>
    <w:p w:rsidR="001456BC" w:rsidRPr="00E63F46" w:rsidRDefault="001456BC" w:rsidP="001456BC">
      <w:pPr>
        <w:autoSpaceDE w:val="0"/>
        <w:autoSpaceDN w:val="0"/>
        <w:adjustRightInd w:val="0"/>
        <w:rPr>
          <w:rFonts w:ascii="Cambria" w:hAnsi="Cambria"/>
          <w:b/>
          <w:sz w:val="22"/>
          <w:szCs w:val="22"/>
          <w:u w:val="single"/>
        </w:rPr>
      </w:pPr>
      <w:r w:rsidRPr="00E63F46">
        <w:rPr>
          <w:rFonts w:ascii="Cambria" w:hAnsi="Cambria"/>
          <w:b/>
          <w:sz w:val="22"/>
          <w:szCs w:val="22"/>
          <w:u w:val="single"/>
        </w:rPr>
        <w:t>Consequences for Academic Dishonesty</w:t>
      </w:r>
    </w:p>
    <w:p w:rsidR="001456BC" w:rsidRPr="00A930BF" w:rsidRDefault="001456BC" w:rsidP="00EB02C2">
      <w:pPr>
        <w:autoSpaceDE w:val="0"/>
        <w:autoSpaceDN w:val="0"/>
        <w:adjustRightInd w:val="0"/>
        <w:rPr>
          <w:rFonts w:ascii="Cambria" w:hAnsi="Cambria"/>
          <w:sz w:val="22"/>
          <w:szCs w:val="20"/>
        </w:rPr>
      </w:pPr>
      <w:r w:rsidRPr="001D79B5">
        <w:rPr>
          <w:rFonts w:ascii="Cambria" w:hAnsi="Cambria"/>
          <w:sz w:val="22"/>
          <w:szCs w:val="20"/>
        </w:rPr>
        <w:t>Academic dishonesty</w:t>
      </w:r>
      <w:r>
        <w:rPr>
          <w:rFonts w:ascii="Cambria" w:hAnsi="Cambria"/>
          <w:sz w:val="22"/>
          <w:szCs w:val="20"/>
        </w:rPr>
        <w:t xml:space="preserve"> ( pursuant to TDSB policy)</w:t>
      </w:r>
      <w:r w:rsidRPr="001D79B5">
        <w:rPr>
          <w:rFonts w:ascii="Cambria" w:hAnsi="Cambria"/>
          <w:sz w:val="22"/>
          <w:szCs w:val="20"/>
        </w:rPr>
        <w:t xml:space="preserve"> will result in a mark of zero for the assessment item in qu</w:t>
      </w:r>
      <w:r>
        <w:rPr>
          <w:rFonts w:ascii="Cambria" w:hAnsi="Cambria"/>
          <w:sz w:val="22"/>
          <w:szCs w:val="20"/>
        </w:rPr>
        <w:t xml:space="preserve">estion. The opportunity for re-evaluation on the material in question may be </w:t>
      </w:r>
      <w:r w:rsidRPr="001D79B5">
        <w:rPr>
          <w:rFonts w:ascii="Cambria" w:hAnsi="Cambria"/>
          <w:sz w:val="22"/>
          <w:szCs w:val="20"/>
        </w:rPr>
        <w:t xml:space="preserve"> forfeited. Students may appeal this decision with the teacher.  However, if the matter cannot be resolved, the student has the right to appeal to their vice-principal for mediation in the matter.  Please note that in cases where the academic dishonesty is deemed to be of a particularly serious nature, additional consequences including suspension may be applied at the discretion of the principal / vice-principal.</w:t>
      </w:r>
    </w:p>
    <w:sectPr w:rsidR="001456BC" w:rsidRPr="00A930BF" w:rsidSect="001456B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85" w:rsidRDefault="003D6E85">
      <w:r>
        <w:separator/>
      </w:r>
    </w:p>
  </w:endnote>
  <w:endnote w:type="continuationSeparator" w:id="0">
    <w:p w:rsidR="003D6E85" w:rsidRDefault="003D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BoldOsF">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83" w:usb1="00000000" w:usb2="00000000" w:usb3="00000000" w:csb0="00000009" w:csb1="00000000"/>
  </w:font>
  <w:font w:name="MyriadM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85" w:rsidRDefault="003D6E85">
      <w:r>
        <w:separator/>
      </w:r>
    </w:p>
  </w:footnote>
  <w:footnote w:type="continuationSeparator" w:id="0">
    <w:p w:rsidR="003D6E85" w:rsidRDefault="003D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8E"/>
    <w:multiLevelType w:val="hybridMultilevel"/>
    <w:tmpl w:val="864A6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529CE"/>
    <w:multiLevelType w:val="hybridMultilevel"/>
    <w:tmpl w:val="11F2E50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190163D0"/>
    <w:multiLevelType w:val="hybridMultilevel"/>
    <w:tmpl w:val="C15C8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307C4A"/>
    <w:multiLevelType w:val="hybridMultilevel"/>
    <w:tmpl w:val="0464B81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21AD2AD5"/>
    <w:multiLevelType w:val="hybridMultilevel"/>
    <w:tmpl w:val="4C6EA29A"/>
    <w:lvl w:ilvl="0" w:tplc="E6609C8C">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6064A9"/>
    <w:multiLevelType w:val="hybridMultilevel"/>
    <w:tmpl w:val="CE58BC62"/>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6">
    <w:nsid w:val="2AD84C5C"/>
    <w:multiLevelType w:val="hybridMultilevel"/>
    <w:tmpl w:val="2ED60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76071C"/>
    <w:multiLevelType w:val="hybridMultilevel"/>
    <w:tmpl w:val="EAC41A5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8">
    <w:nsid w:val="376A1284"/>
    <w:multiLevelType w:val="hybridMultilevel"/>
    <w:tmpl w:val="0418805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3C4D0610"/>
    <w:multiLevelType w:val="hybridMultilevel"/>
    <w:tmpl w:val="2BCA41A4"/>
    <w:lvl w:ilvl="0" w:tplc="E6609C8C">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F37B82"/>
    <w:multiLevelType w:val="hybridMultilevel"/>
    <w:tmpl w:val="F182A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ED1EA0"/>
    <w:multiLevelType w:val="hybridMultilevel"/>
    <w:tmpl w:val="22B6F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F14375"/>
    <w:multiLevelType w:val="hybridMultilevel"/>
    <w:tmpl w:val="31D28D6C"/>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3">
    <w:nsid w:val="651102A7"/>
    <w:multiLevelType w:val="hybridMultilevel"/>
    <w:tmpl w:val="C12E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5416EA"/>
    <w:multiLevelType w:val="hybridMultilevel"/>
    <w:tmpl w:val="A9E8A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3F5414"/>
    <w:multiLevelType w:val="hybridMultilevel"/>
    <w:tmpl w:val="3A8EAE60"/>
    <w:lvl w:ilvl="0" w:tplc="E6609C8C">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F12BDD"/>
    <w:multiLevelType w:val="hybridMultilevel"/>
    <w:tmpl w:val="DF520D3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7ADE79AE"/>
    <w:multiLevelType w:val="hybridMultilevel"/>
    <w:tmpl w:val="D01C567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num w:numId="1">
    <w:abstractNumId w:val="3"/>
  </w:num>
  <w:num w:numId="2">
    <w:abstractNumId w:val="8"/>
  </w:num>
  <w:num w:numId="3">
    <w:abstractNumId w:val="1"/>
  </w:num>
  <w:num w:numId="4">
    <w:abstractNumId w:val="16"/>
  </w:num>
  <w:num w:numId="5">
    <w:abstractNumId w:val="7"/>
  </w:num>
  <w:num w:numId="6">
    <w:abstractNumId w:val="17"/>
  </w:num>
  <w:num w:numId="7">
    <w:abstractNumId w:val="12"/>
  </w:num>
  <w:num w:numId="8">
    <w:abstractNumId w:val="5"/>
  </w:num>
  <w:num w:numId="9">
    <w:abstractNumId w:val="13"/>
  </w:num>
  <w:num w:numId="10">
    <w:abstractNumId w:val="6"/>
  </w:num>
  <w:num w:numId="11">
    <w:abstractNumId w:val="4"/>
  </w:num>
  <w:num w:numId="12">
    <w:abstractNumId w:val="9"/>
  </w:num>
  <w:num w:numId="13">
    <w:abstractNumId w:val="15"/>
  </w:num>
  <w:num w:numId="14">
    <w:abstractNumId w:val="14"/>
  </w:num>
  <w:num w:numId="15">
    <w:abstractNumId w:val="10"/>
  </w:num>
  <w:num w:numId="16">
    <w:abstractNumId w:val="2"/>
  </w:num>
  <w:num w:numId="17">
    <w:abstractNumId w:val="1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9"/>
    <w:rsid w:val="00016E9D"/>
    <w:rsid w:val="001456BC"/>
    <w:rsid w:val="00325247"/>
    <w:rsid w:val="00390662"/>
    <w:rsid w:val="003A07C9"/>
    <w:rsid w:val="003D6E85"/>
    <w:rsid w:val="00447212"/>
    <w:rsid w:val="004B106B"/>
    <w:rsid w:val="00591EE3"/>
    <w:rsid w:val="005D5B59"/>
    <w:rsid w:val="006522ED"/>
    <w:rsid w:val="006956E5"/>
    <w:rsid w:val="007D5805"/>
    <w:rsid w:val="00854D19"/>
    <w:rsid w:val="0092189E"/>
    <w:rsid w:val="00935669"/>
    <w:rsid w:val="009B63FC"/>
    <w:rsid w:val="009F2CAF"/>
    <w:rsid w:val="00A3357D"/>
    <w:rsid w:val="00A33EDF"/>
    <w:rsid w:val="00AD6EDB"/>
    <w:rsid w:val="00B2431B"/>
    <w:rsid w:val="00B346D1"/>
    <w:rsid w:val="00BD02C4"/>
    <w:rsid w:val="00CA3D59"/>
    <w:rsid w:val="00D75788"/>
    <w:rsid w:val="00D902DF"/>
    <w:rsid w:val="00E63F46"/>
    <w:rsid w:val="00EB02C2"/>
    <w:rsid w:val="00F90C26"/>
    <w:rsid w:val="00FA05DF"/>
    <w:rsid w:val="00FC4DE6"/>
    <w:rsid w:val="00FD0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4740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4740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1260E"/>
    <w:rPr>
      <w:color w:val="0000FF"/>
      <w:u w:val="single"/>
    </w:rPr>
  </w:style>
  <w:style w:type="paragraph" w:styleId="Header">
    <w:name w:val="header"/>
    <w:basedOn w:val="Normal"/>
    <w:rsid w:val="00242DF9"/>
    <w:pPr>
      <w:tabs>
        <w:tab w:val="center" w:pos="4320"/>
        <w:tab w:val="right" w:pos="8640"/>
      </w:tabs>
    </w:pPr>
  </w:style>
  <w:style w:type="paragraph" w:styleId="Footer">
    <w:name w:val="footer"/>
    <w:basedOn w:val="Normal"/>
    <w:rsid w:val="00242DF9"/>
    <w:pPr>
      <w:tabs>
        <w:tab w:val="center" w:pos="4320"/>
        <w:tab w:val="right" w:pos="8640"/>
      </w:tabs>
    </w:pPr>
  </w:style>
  <w:style w:type="character" w:styleId="FollowedHyperlink">
    <w:name w:val="FollowedHyperlink"/>
    <w:rsid w:val="00872A20"/>
    <w:rPr>
      <w:color w:val="606420"/>
      <w:u w:val="single"/>
    </w:rPr>
  </w:style>
  <w:style w:type="character" w:styleId="Strong">
    <w:name w:val="Strong"/>
    <w:qFormat/>
    <w:rsid w:val="00083186"/>
    <w:rPr>
      <w:b/>
      <w:bCs/>
    </w:rPr>
  </w:style>
  <w:style w:type="paragraph" w:styleId="BalloonText">
    <w:name w:val="Balloon Text"/>
    <w:basedOn w:val="Normal"/>
    <w:semiHidden/>
    <w:rsid w:val="00BF5189"/>
    <w:rPr>
      <w:rFonts w:ascii="Tahoma" w:hAnsi="Tahoma" w:cs="Tahoma"/>
      <w:sz w:val="16"/>
      <w:szCs w:val="16"/>
    </w:rPr>
  </w:style>
  <w:style w:type="character" w:customStyle="1" w:styleId="Heading2Char">
    <w:name w:val="Heading 2 Char"/>
    <w:link w:val="Heading2"/>
    <w:semiHidden/>
    <w:rsid w:val="00F47401"/>
    <w:rPr>
      <w:rFonts w:ascii="Calibri" w:eastAsia="Times New Roman" w:hAnsi="Calibri" w:cs="Times New Roman"/>
      <w:b/>
      <w:bCs/>
      <w:i/>
      <w:iCs/>
      <w:sz w:val="28"/>
      <w:szCs w:val="28"/>
      <w:lang w:val="en-CA" w:eastAsia="en-CA"/>
    </w:rPr>
  </w:style>
  <w:style w:type="character" w:customStyle="1" w:styleId="Heading3Char">
    <w:name w:val="Heading 3 Char"/>
    <w:link w:val="Heading3"/>
    <w:semiHidden/>
    <w:rsid w:val="00F47401"/>
    <w:rPr>
      <w:rFonts w:ascii="Calibri" w:eastAsia="Times New Roman" w:hAnsi="Calibri" w:cs="Times New Roman"/>
      <w:b/>
      <w:bCs/>
      <w:sz w:val="26"/>
      <w:szCs w:val="26"/>
      <w:lang w:val="en-CA" w:eastAsia="en-CA"/>
    </w:rPr>
  </w:style>
  <w:style w:type="paragraph" w:customStyle="1" w:styleId="Default">
    <w:name w:val="Default"/>
    <w:rsid w:val="004B106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4740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4740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1260E"/>
    <w:rPr>
      <w:color w:val="0000FF"/>
      <w:u w:val="single"/>
    </w:rPr>
  </w:style>
  <w:style w:type="paragraph" w:styleId="Header">
    <w:name w:val="header"/>
    <w:basedOn w:val="Normal"/>
    <w:rsid w:val="00242DF9"/>
    <w:pPr>
      <w:tabs>
        <w:tab w:val="center" w:pos="4320"/>
        <w:tab w:val="right" w:pos="8640"/>
      </w:tabs>
    </w:pPr>
  </w:style>
  <w:style w:type="paragraph" w:styleId="Footer">
    <w:name w:val="footer"/>
    <w:basedOn w:val="Normal"/>
    <w:rsid w:val="00242DF9"/>
    <w:pPr>
      <w:tabs>
        <w:tab w:val="center" w:pos="4320"/>
        <w:tab w:val="right" w:pos="8640"/>
      </w:tabs>
    </w:pPr>
  </w:style>
  <w:style w:type="character" w:styleId="FollowedHyperlink">
    <w:name w:val="FollowedHyperlink"/>
    <w:rsid w:val="00872A20"/>
    <w:rPr>
      <w:color w:val="606420"/>
      <w:u w:val="single"/>
    </w:rPr>
  </w:style>
  <w:style w:type="character" w:styleId="Strong">
    <w:name w:val="Strong"/>
    <w:qFormat/>
    <w:rsid w:val="00083186"/>
    <w:rPr>
      <w:b/>
      <w:bCs/>
    </w:rPr>
  </w:style>
  <w:style w:type="paragraph" w:styleId="BalloonText">
    <w:name w:val="Balloon Text"/>
    <w:basedOn w:val="Normal"/>
    <w:semiHidden/>
    <w:rsid w:val="00BF5189"/>
    <w:rPr>
      <w:rFonts w:ascii="Tahoma" w:hAnsi="Tahoma" w:cs="Tahoma"/>
      <w:sz w:val="16"/>
      <w:szCs w:val="16"/>
    </w:rPr>
  </w:style>
  <w:style w:type="character" w:customStyle="1" w:styleId="Heading2Char">
    <w:name w:val="Heading 2 Char"/>
    <w:link w:val="Heading2"/>
    <w:semiHidden/>
    <w:rsid w:val="00F47401"/>
    <w:rPr>
      <w:rFonts w:ascii="Calibri" w:eastAsia="Times New Roman" w:hAnsi="Calibri" w:cs="Times New Roman"/>
      <w:b/>
      <w:bCs/>
      <w:i/>
      <w:iCs/>
      <w:sz w:val="28"/>
      <w:szCs w:val="28"/>
      <w:lang w:val="en-CA" w:eastAsia="en-CA"/>
    </w:rPr>
  </w:style>
  <w:style w:type="character" w:customStyle="1" w:styleId="Heading3Char">
    <w:name w:val="Heading 3 Char"/>
    <w:link w:val="Heading3"/>
    <w:semiHidden/>
    <w:rsid w:val="00F47401"/>
    <w:rPr>
      <w:rFonts w:ascii="Calibri" w:eastAsia="Times New Roman" w:hAnsi="Calibri" w:cs="Times New Roman"/>
      <w:b/>
      <w:bCs/>
      <w:sz w:val="26"/>
      <w:szCs w:val="26"/>
      <w:lang w:val="en-CA" w:eastAsia="en-CA"/>
    </w:rPr>
  </w:style>
  <w:style w:type="paragraph" w:customStyle="1" w:styleId="Default">
    <w:name w:val="Default"/>
    <w:rsid w:val="004B106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0863">
      <w:bodyDiv w:val="1"/>
      <w:marLeft w:val="0"/>
      <w:marRight w:val="0"/>
      <w:marTop w:val="0"/>
      <w:marBottom w:val="0"/>
      <w:divBdr>
        <w:top w:val="none" w:sz="0" w:space="0" w:color="auto"/>
        <w:left w:val="none" w:sz="0" w:space="0" w:color="auto"/>
        <w:bottom w:val="none" w:sz="0" w:space="0" w:color="auto"/>
        <w:right w:val="none" w:sz="0" w:space="0" w:color="auto"/>
      </w:divBdr>
    </w:div>
    <w:div w:id="1723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Norwell District Secondary School</vt:lpstr>
    </vt:vector>
  </TitlesOfParts>
  <Company>Toronto District School Board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Norwell District Secondary School</dc:title>
  <dc:creator>Pugsley, Joanne</dc:creator>
  <cp:lastModifiedBy>Kelleymaharaj, Usha</cp:lastModifiedBy>
  <cp:revision>2</cp:revision>
  <cp:lastPrinted>2015-09-03T15:41:00Z</cp:lastPrinted>
  <dcterms:created xsi:type="dcterms:W3CDTF">2016-09-13T12:54:00Z</dcterms:created>
  <dcterms:modified xsi:type="dcterms:W3CDTF">2016-09-13T12:54:00Z</dcterms:modified>
</cp:coreProperties>
</file>