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7330"/>
      </w:tblGrid>
      <w:tr w:rsidR="00C87BDF" w:rsidRPr="00BC46A8" w:rsidTr="00006FD8">
        <w:trPr>
          <w:trHeight w:val="227"/>
          <w:jc w:val="center"/>
        </w:trPr>
        <w:tc>
          <w:tcPr>
            <w:tcW w:w="10923" w:type="dxa"/>
            <w:gridSpan w:val="2"/>
            <w:shd w:val="clear" w:color="auto" w:fill="C0C0C0"/>
            <w:vAlign w:val="center"/>
          </w:tcPr>
          <w:p w:rsidR="00C87BDF" w:rsidRPr="00006FD8" w:rsidRDefault="00C87BDF" w:rsidP="00006FD8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06FD8">
              <w:rPr>
                <w:rFonts w:ascii="Arial" w:hAnsi="Arial" w:cs="Arial"/>
                <w:b/>
                <w:sz w:val="20"/>
                <w:szCs w:val="20"/>
              </w:rPr>
              <w:t xml:space="preserve">General Course Information </w:t>
            </w:r>
          </w:p>
        </w:tc>
      </w:tr>
      <w:tr w:rsidR="00C87BDF" w:rsidRPr="00BC46A8" w:rsidTr="00006FD8">
        <w:trPr>
          <w:trHeight w:val="227"/>
          <w:jc w:val="center"/>
        </w:trPr>
        <w:tc>
          <w:tcPr>
            <w:tcW w:w="3593" w:type="dxa"/>
            <w:tcBorders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Prerequisite:</w:t>
            </w:r>
          </w:p>
        </w:tc>
        <w:tc>
          <w:tcPr>
            <w:tcW w:w="7330" w:type="dxa"/>
            <w:tcBorders>
              <w:left w:val="nil"/>
              <w:bottom w:val="nil"/>
            </w:tcBorders>
          </w:tcPr>
          <w:p w:rsidR="00C87BDF" w:rsidRPr="00006FD8" w:rsidRDefault="00EF0530" w:rsidP="003F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10 Essential Math (</w:t>
            </w:r>
            <w:r w:rsidR="00985304">
              <w:rPr>
                <w:rFonts w:ascii="Arial" w:hAnsi="Arial" w:cs="Arial"/>
                <w:sz w:val="20"/>
                <w:szCs w:val="20"/>
              </w:rPr>
              <w:t>M</w:t>
            </w:r>
            <w:r w:rsidR="00A96415">
              <w:rPr>
                <w:rFonts w:ascii="Arial" w:hAnsi="Arial" w:cs="Arial"/>
                <w:sz w:val="20"/>
                <w:szCs w:val="20"/>
              </w:rPr>
              <w:t>AT2L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9641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Grade 9 Applied Math (</w:t>
            </w:r>
            <w:r w:rsidR="00A96415">
              <w:rPr>
                <w:rFonts w:ascii="Arial" w:hAnsi="Arial" w:cs="Arial"/>
                <w:sz w:val="20"/>
                <w:szCs w:val="20"/>
              </w:rPr>
              <w:t>MFM1P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9641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or Grade 9 Academic Math (</w:t>
            </w:r>
            <w:r w:rsidR="00A96415">
              <w:rPr>
                <w:rFonts w:ascii="Arial" w:hAnsi="Arial" w:cs="Arial"/>
                <w:sz w:val="20"/>
                <w:szCs w:val="20"/>
              </w:rPr>
              <w:t>MPM1D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87BDF" w:rsidRPr="00BC46A8" w:rsidTr="00006FD8">
        <w:trPr>
          <w:trHeight w:val="227"/>
          <w:jc w:val="center"/>
        </w:trPr>
        <w:tc>
          <w:tcPr>
            <w:tcW w:w="3593" w:type="dxa"/>
            <w:tcBorders>
              <w:top w:val="nil"/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Teacher: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</w:tcBorders>
          </w:tcPr>
          <w:p w:rsidR="00C87BDF" w:rsidRPr="00006FD8" w:rsidRDefault="00956358" w:rsidP="009458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(416-395-3140 Ext 20080)</w:t>
            </w:r>
          </w:p>
        </w:tc>
      </w:tr>
      <w:tr w:rsidR="00C87BDF" w:rsidRPr="00BC46A8" w:rsidTr="00006FD8">
        <w:trPr>
          <w:trHeight w:val="227"/>
          <w:jc w:val="center"/>
        </w:trPr>
        <w:tc>
          <w:tcPr>
            <w:tcW w:w="3593" w:type="dxa"/>
            <w:tcBorders>
              <w:top w:val="nil"/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</w:tcBorders>
          </w:tcPr>
          <w:p w:rsidR="00C87BDF" w:rsidRPr="00006FD8" w:rsidRDefault="00C87BDF" w:rsidP="0095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</w:tr>
      <w:tr w:rsidR="00C87BDF" w:rsidRPr="00BC46A8" w:rsidTr="00006FD8">
        <w:trPr>
          <w:trHeight w:val="242"/>
          <w:jc w:val="center"/>
        </w:trPr>
        <w:tc>
          <w:tcPr>
            <w:tcW w:w="3593" w:type="dxa"/>
            <w:tcBorders>
              <w:top w:val="nil"/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nil"/>
            </w:tcBorders>
          </w:tcPr>
          <w:p w:rsidR="00C87BDF" w:rsidRPr="00006FD8" w:rsidRDefault="00C87BDF" w:rsidP="00781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DF" w:rsidRPr="00BC46A8" w:rsidTr="00006FD8">
        <w:trPr>
          <w:trHeight w:val="227"/>
          <w:jc w:val="center"/>
        </w:trPr>
        <w:tc>
          <w:tcPr>
            <w:tcW w:w="3593" w:type="dxa"/>
            <w:tcBorders>
              <w:top w:val="nil"/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Extra Help: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</w:tcBorders>
          </w:tcPr>
          <w:p w:rsidR="00C87BDF" w:rsidRPr="00006FD8" w:rsidRDefault="00204251" w:rsidP="00D5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appointment: Before school, lunch and after school</w:t>
            </w:r>
          </w:p>
        </w:tc>
      </w:tr>
      <w:tr w:rsidR="00C87BDF" w:rsidRPr="00BC46A8" w:rsidTr="00006FD8">
        <w:trPr>
          <w:trHeight w:val="227"/>
          <w:jc w:val="center"/>
        </w:trPr>
        <w:tc>
          <w:tcPr>
            <w:tcW w:w="3593" w:type="dxa"/>
            <w:tcBorders>
              <w:top w:val="nil"/>
              <w:bottom w:val="nil"/>
              <w:right w:val="nil"/>
            </w:tcBorders>
          </w:tcPr>
          <w:p w:rsidR="00C87BDF" w:rsidRPr="00006FD8" w:rsidRDefault="00985304" w:rsidP="00985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="00C87BDF" w:rsidRPr="00006FD8">
              <w:rPr>
                <w:rFonts w:ascii="Arial" w:hAnsi="Arial" w:cs="Arial"/>
                <w:sz w:val="20"/>
                <w:szCs w:val="20"/>
              </w:rPr>
              <w:t>book and Replacement Cost: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</w:tcBorders>
          </w:tcPr>
          <w:p w:rsidR="00C87BDF" w:rsidRPr="00006FD8" w:rsidRDefault="00985304" w:rsidP="00A96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  <w:r w:rsidR="003F62BD">
              <w:rPr>
                <w:rFonts w:ascii="Arial" w:hAnsi="Arial" w:cs="Arial"/>
                <w:sz w:val="20"/>
                <w:szCs w:val="20"/>
              </w:rPr>
              <w:t>ematics for Everyday Life</w:t>
            </w:r>
            <w:r w:rsidR="00726F9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A964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62BD">
              <w:rPr>
                <w:rFonts w:ascii="Arial" w:hAnsi="Arial" w:cs="Arial"/>
                <w:sz w:val="20"/>
                <w:szCs w:val="20"/>
              </w:rPr>
              <w:t>Irwin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D0A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7BDF" w:rsidRPr="00BC46A8" w:rsidTr="00006FD8">
        <w:trPr>
          <w:trHeight w:val="242"/>
          <w:jc w:val="center"/>
        </w:trPr>
        <w:tc>
          <w:tcPr>
            <w:tcW w:w="3593" w:type="dxa"/>
            <w:tcBorders>
              <w:top w:val="nil"/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Material Required: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Three-ring binder, writing utensils,</w:t>
            </w:r>
            <w:r>
              <w:rPr>
                <w:rFonts w:ascii="Arial" w:hAnsi="Arial" w:cs="Arial"/>
                <w:sz w:val="20"/>
                <w:szCs w:val="20"/>
              </w:rPr>
              <w:t xml:space="preserve"> calculator</w:t>
            </w:r>
            <w:r w:rsidR="00940641">
              <w:rPr>
                <w:rFonts w:ascii="Arial" w:hAnsi="Arial" w:cs="Arial"/>
                <w:sz w:val="20"/>
                <w:szCs w:val="20"/>
              </w:rPr>
              <w:t>,</w:t>
            </w:r>
            <w:r w:rsidRPr="00006FD8">
              <w:rPr>
                <w:rFonts w:ascii="Arial" w:hAnsi="Arial" w:cs="Arial"/>
                <w:sz w:val="20"/>
                <w:szCs w:val="20"/>
              </w:rPr>
              <w:t xml:space="preserve"> student agenda</w:t>
            </w:r>
          </w:p>
        </w:tc>
      </w:tr>
      <w:tr w:rsidR="00C87BDF" w:rsidRPr="00BC46A8" w:rsidTr="00EF0530">
        <w:trPr>
          <w:trHeight w:val="180"/>
          <w:jc w:val="center"/>
        </w:trPr>
        <w:tc>
          <w:tcPr>
            <w:tcW w:w="3593" w:type="dxa"/>
            <w:tcBorders>
              <w:top w:val="nil"/>
              <w:bottom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Course Fee: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006FD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87BDF" w:rsidRPr="00C5164E" w:rsidTr="00006FD8">
        <w:trPr>
          <w:trHeight w:val="182"/>
          <w:jc w:val="center"/>
        </w:trPr>
        <w:tc>
          <w:tcPr>
            <w:tcW w:w="3593" w:type="dxa"/>
            <w:tcBorders>
              <w:top w:val="nil"/>
              <w:righ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0" w:type="dxa"/>
            <w:tcBorders>
              <w:top w:val="nil"/>
              <w:left w:val="nil"/>
            </w:tcBorders>
          </w:tcPr>
          <w:p w:rsidR="00C87BDF" w:rsidRPr="00006FD8" w:rsidRDefault="00C87BDF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BDF" w:rsidRPr="00BC46A8" w:rsidTr="00006FD8">
        <w:trPr>
          <w:trHeight w:val="227"/>
          <w:jc w:val="center"/>
        </w:trPr>
        <w:tc>
          <w:tcPr>
            <w:tcW w:w="10923" w:type="dxa"/>
            <w:gridSpan w:val="2"/>
            <w:shd w:val="clear" w:color="auto" w:fill="C0C0C0"/>
            <w:vAlign w:val="center"/>
          </w:tcPr>
          <w:p w:rsidR="00C87BDF" w:rsidRPr="00006FD8" w:rsidRDefault="00C87BDF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FD8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</w:tr>
      <w:tr w:rsidR="00C87BDF" w:rsidRPr="00BC46A8" w:rsidTr="00EF0530">
        <w:trPr>
          <w:trHeight w:val="3113"/>
          <w:jc w:val="center"/>
        </w:trPr>
        <w:tc>
          <w:tcPr>
            <w:tcW w:w="10923" w:type="dxa"/>
            <w:gridSpan w:val="2"/>
            <w:tcBorders>
              <w:bottom w:val="nil"/>
            </w:tcBorders>
          </w:tcPr>
          <w:p w:rsidR="00A96415" w:rsidRDefault="00A96415" w:rsidP="00A9641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A96415">
              <w:rPr>
                <w:rFonts w:ascii="Arial" w:hAnsi="Arial" w:cs="Arial"/>
                <w:bCs/>
                <w:sz w:val="20"/>
                <w:szCs w:val="20"/>
              </w:rPr>
              <w:t>This course enables students to broaden their understanding of mathematics as it 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6415">
              <w:rPr>
                <w:rFonts w:ascii="Arial" w:hAnsi="Arial" w:cs="Arial"/>
                <w:bCs/>
                <w:sz w:val="20"/>
                <w:szCs w:val="20"/>
              </w:rPr>
              <w:t>applied in the workplace and daily life. Students will solve problems associated with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6415">
              <w:rPr>
                <w:rFonts w:ascii="Arial" w:hAnsi="Arial" w:cs="Arial"/>
                <w:bCs/>
                <w:sz w:val="20"/>
                <w:szCs w:val="20"/>
              </w:rPr>
              <w:t>earning money, paying taxes, and making purchases; apply calculations of simple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6415">
              <w:rPr>
                <w:rFonts w:ascii="Arial" w:hAnsi="Arial" w:cs="Arial"/>
                <w:bCs/>
                <w:sz w:val="20"/>
                <w:szCs w:val="20"/>
              </w:rPr>
              <w:t>compound interest in saving, investing, and borrowing; and calculate the costs of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6415">
              <w:rPr>
                <w:rFonts w:ascii="Arial" w:hAnsi="Arial" w:cs="Arial"/>
                <w:bCs/>
                <w:sz w:val="20"/>
                <w:szCs w:val="20"/>
              </w:rPr>
              <w:t>transportation and travel in a variety of situations. Students will consolidate their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6415">
              <w:rPr>
                <w:rFonts w:ascii="Arial" w:hAnsi="Arial" w:cs="Arial"/>
                <w:bCs/>
                <w:sz w:val="20"/>
                <w:szCs w:val="20"/>
              </w:rPr>
              <w:t>mathematical skills as they solve problems and communicate their thinking.</w:t>
            </w:r>
          </w:p>
          <w:p w:rsidR="00C87BDF" w:rsidRPr="00726F9D" w:rsidRDefault="00C87BDF" w:rsidP="00A9641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26F9D">
              <w:rPr>
                <w:rFonts w:ascii="Arial" w:hAnsi="Arial" w:cs="Arial"/>
                <w:sz w:val="20"/>
                <w:szCs w:val="20"/>
              </w:rPr>
              <w:t xml:space="preserve">The course is organized into </w:t>
            </w:r>
            <w:r w:rsidR="00A96415">
              <w:rPr>
                <w:rFonts w:ascii="Arial" w:hAnsi="Arial" w:cs="Arial"/>
                <w:sz w:val="20"/>
                <w:szCs w:val="20"/>
              </w:rPr>
              <w:t>3</w:t>
            </w:r>
            <w:r w:rsidRPr="00726F9D">
              <w:rPr>
                <w:rFonts w:ascii="Arial" w:hAnsi="Arial" w:cs="Arial"/>
                <w:sz w:val="20"/>
                <w:szCs w:val="20"/>
              </w:rPr>
              <w:t xml:space="preserve"> strands:</w:t>
            </w:r>
          </w:p>
          <w:p w:rsidR="00C87BDF" w:rsidRPr="00726F9D" w:rsidRDefault="00A96415" w:rsidP="00006FD8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Earning and Purchasing</w:t>
            </w:r>
          </w:p>
          <w:p w:rsidR="00C87BDF" w:rsidRPr="00726F9D" w:rsidRDefault="00205422" w:rsidP="00006FD8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Saving, Investing, and Borrowing</w:t>
            </w:r>
          </w:p>
          <w:p w:rsidR="00726F9D" w:rsidRPr="00D84EFE" w:rsidRDefault="00205422" w:rsidP="00D84EFE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Transportation and Travel</w:t>
            </w:r>
          </w:p>
          <w:p w:rsidR="00C87BDF" w:rsidRPr="00006FD8" w:rsidRDefault="00726F9D" w:rsidP="0020542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 xml:space="preserve">A detailed list of the course expectations can be found at </w:t>
            </w:r>
            <w:r w:rsidR="00205422">
              <w:rPr>
                <w:rFonts w:ascii="Arial" w:hAnsi="Arial" w:cs="Arial"/>
                <w:sz w:val="20"/>
                <w:szCs w:val="20"/>
              </w:rPr>
              <w:t>h</w:t>
            </w:r>
            <w:r w:rsidRPr="007E03E7">
              <w:rPr>
                <w:rFonts w:ascii="Arial" w:hAnsi="Arial" w:cs="Arial"/>
                <w:sz w:val="20"/>
                <w:szCs w:val="20"/>
              </w:rPr>
              <w:t>ttp://www.edu.gov.on.ca/eng/curriculum/secondary/math1112currb.pdf</w:t>
            </w:r>
          </w:p>
        </w:tc>
      </w:tr>
      <w:tr w:rsidR="00C87BDF" w:rsidRPr="00BC46A8" w:rsidTr="00EF0530">
        <w:trPr>
          <w:trHeight w:val="70"/>
          <w:jc w:val="center"/>
        </w:trPr>
        <w:tc>
          <w:tcPr>
            <w:tcW w:w="10923" w:type="dxa"/>
            <w:gridSpan w:val="2"/>
            <w:shd w:val="clear" w:color="auto" w:fill="C0C0C0"/>
            <w:vAlign w:val="center"/>
          </w:tcPr>
          <w:p w:rsidR="00C87BDF" w:rsidRPr="00006FD8" w:rsidRDefault="00C87BDF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006FD8">
              <w:rPr>
                <w:rFonts w:ascii="Arial" w:hAnsi="Arial" w:cs="Arial"/>
                <w:b/>
                <w:sz w:val="20"/>
                <w:szCs w:val="20"/>
              </w:rPr>
              <w:t>Assessment and Evaluation</w:t>
            </w:r>
          </w:p>
        </w:tc>
      </w:tr>
      <w:tr w:rsidR="00C87BDF" w:rsidRPr="00BC46A8" w:rsidTr="00006FD8">
        <w:trPr>
          <w:trHeight w:val="7015"/>
          <w:jc w:val="center"/>
        </w:trPr>
        <w:tc>
          <w:tcPr>
            <w:tcW w:w="10923" w:type="dxa"/>
            <w:gridSpan w:val="2"/>
          </w:tcPr>
          <w:p w:rsidR="00726F9D" w:rsidRPr="007E03E7" w:rsidRDefault="00726F9D" w:rsidP="00726F9D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To promote student success, ongoing assessment and feedback will be given regularly to the students.  A variety of assessment and evaluation strategies will be used in this course, including tests, quizzes,</w:t>
            </w:r>
            <w:r w:rsidR="00E06D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assignments</w:t>
            </w:r>
            <w:r w:rsidR="00E06D51">
              <w:rPr>
                <w:rFonts w:ascii="Arial" w:hAnsi="Arial" w:cs="Arial"/>
                <w:sz w:val="20"/>
                <w:szCs w:val="20"/>
              </w:rPr>
              <w:t>, and projects</w:t>
            </w:r>
            <w:r w:rsidRPr="007E03E7">
              <w:rPr>
                <w:rFonts w:ascii="Arial" w:hAnsi="Arial" w:cs="Arial"/>
                <w:sz w:val="20"/>
                <w:szCs w:val="20"/>
              </w:rPr>
              <w:t>.  Expectations will be evaluated based on the provincial curriculum expectations and the achievement levels outlined in the ministry document.</w:t>
            </w:r>
          </w:p>
          <w:p w:rsidR="00726F9D" w:rsidRPr="007E03E7" w:rsidRDefault="00726F9D" w:rsidP="00726F9D">
            <w:pPr>
              <w:rPr>
                <w:rFonts w:ascii="Arial" w:hAnsi="Arial" w:cs="Arial"/>
                <w:sz w:val="16"/>
                <w:szCs w:val="16"/>
              </w:rPr>
            </w:pPr>
          </w:p>
          <w:p w:rsidR="00726F9D" w:rsidRPr="007E03E7" w:rsidRDefault="00726F9D" w:rsidP="00726F9D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Expectations are organized into four categories of knowledge and skills.  The categories and their corresponding weighting is as follows: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4657"/>
            </w:tblGrid>
            <w:tr w:rsidR="00726F9D" w:rsidRPr="007E03E7" w:rsidTr="00701617">
              <w:tc>
                <w:tcPr>
                  <w:tcW w:w="363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Knowledge and Understanding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726F9D" w:rsidRPr="007E03E7" w:rsidRDefault="00974415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20 - </w:t>
                  </w:r>
                  <w:r w:rsidR="00726F9D" w:rsidRPr="007E03E7">
                    <w:rPr>
                      <w:rFonts w:ascii="Arial" w:hAnsi="Arial" w:cs="Arial"/>
                      <w:sz w:val="20"/>
                      <w:szCs w:val="20"/>
                    </w:rPr>
                    <w:t>35%</w:t>
                  </w:r>
                </w:p>
              </w:tc>
            </w:tr>
            <w:tr w:rsidR="00726F9D" w:rsidRPr="007E03E7" w:rsidTr="00701617">
              <w:tc>
                <w:tcPr>
                  <w:tcW w:w="363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Thinking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974415">
                    <w:rPr>
                      <w:rFonts w:ascii="Arial" w:hAnsi="Arial" w:cs="Arial"/>
                      <w:sz w:val="20"/>
                      <w:szCs w:val="20"/>
                    </w:rPr>
                    <w:t xml:space="preserve"> - 25</w:t>
                  </w: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26F9D" w:rsidRPr="007E03E7" w:rsidTr="00701617">
              <w:tc>
                <w:tcPr>
                  <w:tcW w:w="363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695791">
                    <w:rPr>
                      <w:rFonts w:ascii="Arial" w:hAnsi="Arial" w:cs="Arial"/>
                      <w:sz w:val="20"/>
                      <w:szCs w:val="20"/>
                    </w:rPr>
                    <w:t xml:space="preserve"> - 30</w:t>
                  </w: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26F9D" w:rsidRPr="007E03E7" w:rsidTr="00701617">
              <w:tc>
                <w:tcPr>
                  <w:tcW w:w="363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Application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726F9D" w:rsidRPr="007E03E7" w:rsidRDefault="00974415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15 - 25</w:t>
                  </w:r>
                  <w:r w:rsidR="00726F9D" w:rsidRPr="007E03E7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726F9D" w:rsidRPr="007E03E7" w:rsidRDefault="00726F9D" w:rsidP="00726F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26F9D" w:rsidRPr="007E03E7" w:rsidRDefault="00726F9D" w:rsidP="00726F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Each student’s final mark will be in the form of a percentage grade based on their achievement in the 4 categories on the achievement chart.  The breakdown of the final mark is as follow</w:t>
            </w:r>
            <w:r w:rsidR="00E06D51">
              <w:rPr>
                <w:rFonts w:ascii="Arial" w:hAnsi="Arial" w:cs="Arial"/>
                <w:sz w:val="20"/>
                <w:szCs w:val="20"/>
              </w:rPr>
              <w:t>s</w:t>
            </w:r>
            <w:r w:rsidRPr="007E03E7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830"/>
            </w:tblGrid>
            <w:tr w:rsidR="00726F9D" w:rsidRPr="007E03E7" w:rsidTr="00701617">
              <w:tc>
                <w:tcPr>
                  <w:tcW w:w="363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Term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70%</w:t>
                  </w:r>
                </w:p>
              </w:tc>
            </w:tr>
            <w:tr w:rsidR="00726F9D" w:rsidRPr="007E03E7" w:rsidTr="00701617">
              <w:tc>
                <w:tcPr>
                  <w:tcW w:w="3632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Final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726F9D" w:rsidRPr="007E03E7" w:rsidRDefault="00726F9D" w:rsidP="007016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30%</w:t>
                  </w:r>
                </w:p>
              </w:tc>
            </w:tr>
          </w:tbl>
          <w:p w:rsidR="00726F9D" w:rsidRPr="007E03E7" w:rsidRDefault="00726F9D" w:rsidP="00726F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26F9D" w:rsidRPr="007E03E7" w:rsidRDefault="00726F9D" w:rsidP="00726F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In addition to students’ performance in the achievement categories, students will also be assessed on their performance in the following learning skills:</w:t>
            </w:r>
          </w:p>
          <w:p w:rsidR="00726F9D" w:rsidRPr="007E03E7" w:rsidRDefault="00726F9D" w:rsidP="00726F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Responsibility</w:t>
            </w:r>
          </w:p>
          <w:p w:rsidR="00726F9D" w:rsidRPr="007E03E7" w:rsidRDefault="00726F9D" w:rsidP="00726F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726F9D" w:rsidRPr="007E03E7" w:rsidRDefault="00726F9D" w:rsidP="00726F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Independent Work</w:t>
            </w:r>
          </w:p>
          <w:p w:rsidR="00726F9D" w:rsidRPr="007E03E7" w:rsidRDefault="00726F9D" w:rsidP="00726F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726F9D" w:rsidRPr="007E03E7" w:rsidRDefault="00726F9D" w:rsidP="00726F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:rsidR="00726F9D" w:rsidRPr="007E03E7" w:rsidRDefault="00726F9D" w:rsidP="00726F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Self-Regulation</w:t>
            </w:r>
          </w:p>
          <w:p w:rsidR="00726F9D" w:rsidRPr="007E03E7" w:rsidRDefault="00726F9D" w:rsidP="00726F9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87BDF" w:rsidRPr="00006FD8" w:rsidRDefault="00726F9D" w:rsidP="00726F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 xml:space="preserve">For specific policies on assessment and evaluation, and academic honesty, please refer to </w:t>
            </w:r>
            <w:r w:rsidRPr="007E03E7">
              <w:rPr>
                <w:rFonts w:ascii="Arial" w:hAnsi="Arial" w:cs="Arial"/>
                <w:i/>
                <w:sz w:val="20"/>
                <w:szCs w:val="20"/>
              </w:rPr>
              <w:t>School Procedure</w:t>
            </w:r>
            <w:r w:rsidRPr="007E03E7">
              <w:rPr>
                <w:rFonts w:ascii="Arial" w:hAnsi="Arial" w:cs="Arial"/>
                <w:sz w:val="20"/>
                <w:szCs w:val="20"/>
              </w:rPr>
              <w:t xml:space="preserve">s in the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7E03E7">
              <w:rPr>
                <w:rFonts w:ascii="Arial" w:hAnsi="Arial" w:cs="Arial"/>
                <w:sz w:val="20"/>
                <w:szCs w:val="20"/>
              </w:rPr>
              <w:t>udent agenda.</w:t>
            </w:r>
          </w:p>
        </w:tc>
      </w:tr>
    </w:tbl>
    <w:p w:rsidR="00C87BDF" w:rsidRDefault="00C87BDF"/>
    <w:sectPr w:rsidR="00C87BDF" w:rsidSect="00495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34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DF" w:rsidRDefault="00C87BDF">
      <w:r>
        <w:separator/>
      </w:r>
    </w:p>
  </w:endnote>
  <w:endnote w:type="continuationSeparator" w:id="0">
    <w:p w:rsidR="00C87BDF" w:rsidRDefault="00C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DF" w:rsidRDefault="00C87BDF" w:rsidP="00736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BDF" w:rsidRDefault="00C87BDF" w:rsidP="007F54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7E" w:rsidRDefault="000B1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7E" w:rsidRDefault="000B1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DF" w:rsidRDefault="00C87BDF">
      <w:r>
        <w:separator/>
      </w:r>
    </w:p>
  </w:footnote>
  <w:footnote w:type="continuationSeparator" w:id="0">
    <w:p w:rsidR="00C87BDF" w:rsidRDefault="00C8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7E" w:rsidRDefault="000B1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4"/>
      <w:gridCol w:w="8994"/>
    </w:tblGrid>
    <w:tr w:rsidR="00C87BDF" w:rsidRPr="002129F0" w:rsidTr="00006FD8">
      <w:trPr>
        <w:jc w:val="center"/>
      </w:trPr>
      <w:tc>
        <w:tcPr>
          <w:tcW w:w="2004" w:type="dxa"/>
          <w:tcBorders>
            <w:top w:val="nil"/>
            <w:left w:val="nil"/>
            <w:bottom w:val="nil"/>
            <w:right w:val="nil"/>
          </w:tcBorders>
        </w:tcPr>
        <w:p w:rsidR="00C87BDF" w:rsidRPr="00006FD8" w:rsidRDefault="001D7D62" w:rsidP="002D3854">
          <w:pPr>
            <w:rPr>
              <w:rFonts w:ascii="Arabia" w:hAnsi="Arabia"/>
              <w:b/>
              <w:sz w:val="56"/>
            </w:rPr>
          </w:pPr>
          <w:r>
            <w:rPr>
              <w:rFonts w:ascii="Arabia" w:hAnsi="Arabia"/>
              <w:b/>
              <w:noProof/>
              <w:sz w:val="56"/>
            </w:rPr>
            <w:drawing>
              <wp:inline distT="0" distB="0" distL="0" distR="0" wp14:anchorId="3A15383D" wp14:editId="5B1B461D">
                <wp:extent cx="914400" cy="6572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87BDF" w:rsidRDefault="00FB6427" w:rsidP="00FB642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Grade 1</w:t>
          </w:r>
          <w:r w:rsidR="00A96415">
            <w:rPr>
              <w:rFonts w:ascii="Arial" w:hAnsi="Arial" w:cs="Arial"/>
              <w:b/>
            </w:rPr>
            <w:t>1</w:t>
          </w:r>
          <w:r>
            <w:rPr>
              <w:rFonts w:ascii="Arial" w:hAnsi="Arial" w:cs="Arial"/>
              <w:b/>
            </w:rPr>
            <w:t xml:space="preserve"> </w:t>
          </w:r>
          <w:r w:rsidR="00A96415">
            <w:rPr>
              <w:rFonts w:ascii="Arial" w:hAnsi="Arial" w:cs="Arial"/>
              <w:b/>
            </w:rPr>
            <w:t>–</w:t>
          </w:r>
          <w:r>
            <w:rPr>
              <w:rFonts w:ascii="Arial" w:hAnsi="Arial" w:cs="Arial"/>
              <w:b/>
            </w:rPr>
            <w:t xml:space="preserve"> </w:t>
          </w:r>
          <w:r w:rsidR="00C87BDF">
            <w:rPr>
              <w:rFonts w:ascii="Arial" w:hAnsi="Arial" w:cs="Arial"/>
              <w:b/>
            </w:rPr>
            <w:t>M</w:t>
          </w:r>
          <w:r w:rsidR="003F62BD">
            <w:rPr>
              <w:rFonts w:ascii="Arial" w:hAnsi="Arial" w:cs="Arial"/>
              <w:b/>
            </w:rPr>
            <w:t>EL</w:t>
          </w:r>
          <w:r w:rsidR="00A96415">
            <w:rPr>
              <w:rFonts w:ascii="Arial" w:hAnsi="Arial" w:cs="Arial"/>
              <w:b/>
            </w:rPr>
            <w:t>3</w:t>
          </w:r>
          <w:r w:rsidR="007D3D9D">
            <w:rPr>
              <w:rFonts w:ascii="Arial" w:hAnsi="Arial" w:cs="Arial"/>
              <w:b/>
            </w:rPr>
            <w:t>E</w:t>
          </w:r>
        </w:p>
        <w:p w:rsidR="00C87BDF" w:rsidRPr="00006FD8" w:rsidRDefault="00C87BDF" w:rsidP="00006FD8">
          <w:pPr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 xml:space="preserve">Mathematics for </w:t>
          </w:r>
          <w:r w:rsidR="007D3D9D">
            <w:rPr>
              <w:rFonts w:ascii="Arial" w:hAnsi="Arial" w:cs="Arial"/>
              <w:b/>
              <w:lang w:val="en-US"/>
            </w:rPr>
            <w:t xml:space="preserve">Work and </w:t>
          </w:r>
          <w:r>
            <w:rPr>
              <w:rFonts w:ascii="Arial" w:hAnsi="Arial" w:cs="Arial"/>
              <w:b/>
              <w:lang w:val="en-US"/>
            </w:rPr>
            <w:t>Everyday Life</w:t>
          </w:r>
          <w:r w:rsidRPr="00006FD8">
            <w:rPr>
              <w:rFonts w:ascii="Arial" w:hAnsi="Arial" w:cs="Arial"/>
              <w:b/>
            </w:rPr>
            <w:t xml:space="preserve"> </w:t>
          </w:r>
        </w:p>
        <w:p w:rsidR="00C87BDF" w:rsidRPr="00006FD8" w:rsidRDefault="00C87BDF" w:rsidP="00C24A8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C87BDF" w:rsidRPr="00C5164E" w:rsidRDefault="00C87BDF" w:rsidP="00C5164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7E" w:rsidRDefault="000B1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1C4"/>
    <w:multiLevelType w:val="hybridMultilevel"/>
    <w:tmpl w:val="B4C47736"/>
    <w:lvl w:ilvl="0" w:tplc="FFFFFFFF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3087AC1"/>
    <w:multiLevelType w:val="hybridMultilevel"/>
    <w:tmpl w:val="05223BD4"/>
    <w:lvl w:ilvl="0" w:tplc="B866A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2">
    <w:nsid w:val="03366668"/>
    <w:multiLevelType w:val="hybridMultilevel"/>
    <w:tmpl w:val="D7B020C6"/>
    <w:lvl w:ilvl="0" w:tplc="28C8E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E4166"/>
    <w:multiLevelType w:val="hybridMultilevel"/>
    <w:tmpl w:val="3092DEA4"/>
    <w:lvl w:ilvl="0" w:tplc="28C8E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2330D"/>
    <w:multiLevelType w:val="hybridMultilevel"/>
    <w:tmpl w:val="BFE447C2"/>
    <w:lvl w:ilvl="0" w:tplc="28C8E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E194F"/>
    <w:multiLevelType w:val="hybridMultilevel"/>
    <w:tmpl w:val="13E450BC"/>
    <w:lvl w:ilvl="0" w:tplc="A96AB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6">
    <w:nsid w:val="3B4053CF"/>
    <w:multiLevelType w:val="hybridMultilevel"/>
    <w:tmpl w:val="E1F28CA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644276"/>
    <w:multiLevelType w:val="hybridMultilevel"/>
    <w:tmpl w:val="F526647C"/>
    <w:lvl w:ilvl="0" w:tplc="28C8E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976B6"/>
    <w:multiLevelType w:val="hybridMultilevel"/>
    <w:tmpl w:val="2B5CB570"/>
    <w:lvl w:ilvl="0" w:tplc="28C8E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C357A"/>
    <w:multiLevelType w:val="hybridMultilevel"/>
    <w:tmpl w:val="9A6CBEEC"/>
    <w:lvl w:ilvl="0" w:tplc="FFFFFFFF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>
    <w:nsid w:val="75A81236"/>
    <w:multiLevelType w:val="hybridMultilevel"/>
    <w:tmpl w:val="65D2A6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391672"/>
    <w:multiLevelType w:val="hybridMultilevel"/>
    <w:tmpl w:val="3FB09C64"/>
    <w:lvl w:ilvl="0" w:tplc="28C8E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1495B"/>
    <w:multiLevelType w:val="hybridMultilevel"/>
    <w:tmpl w:val="51D4C682"/>
    <w:lvl w:ilvl="0" w:tplc="FFFFFFFF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28C8EB6A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A"/>
    <w:rsid w:val="00000D0D"/>
    <w:rsid w:val="00006FD8"/>
    <w:rsid w:val="00020142"/>
    <w:rsid w:val="00032C5C"/>
    <w:rsid w:val="00057CAD"/>
    <w:rsid w:val="00094D96"/>
    <w:rsid w:val="000B1F7E"/>
    <w:rsid w:val="001330F9"/>
    <w:rsid w:val="00150A37"/>
    <w:rsid w:val="001747E7"/>
    <w:rsid w:val="001904CF"/>
    <w:rsid w:val="00191B9D"/>
    <w:rsid w:val="001D7D62"/>
    <w:rsid w:val="001F3F1A"/>
    <w:rsid w:val="00204251"/>
    <w:rsid w:val="00205422"/>
    <w:rsid w:val="002129F0"/>
    <w:rsid w:val="00215008"/>
    <w:rsid w:val="0025714C"/>
    <w:rsid w:val="002D3854"/>
    <w:rsid w:val="002F1F87"/>
    <w:rsid w:val="003476CA"/>
    <w:rsid w:val="00366358"/>
    <w:rsid w:val="003F62BD"/>
    <w:rsid w:val="00431EB0"/>
    <w:rsid w:val="00436EF6"/>
    <w:rsid w:val="00481D66"/>
    <w:rsid w:val="00495674"/>
    <w:rsid w:val="00523E16"/>
    <w:rsid w:val="00527213"/>
    <w:rsid w:val="00543C95"/>
    <w:rsid w:val="00551A8A"/>
    <w:rsid w:val="00554749"/>
    <w:rsid w:val="005D74B8"/>
    <w:rsid w:val="00644AF2"/>
    <w:rsid w:val="00695791"/>
    <w:rsid w:val="006D65F1"/>
    <w:rsid w:val="006F341C"/>
    <w:rsid w:val="007122F3"/>
    <w:rsid w:val="00721CD2"/>
    <w:rsid w:val="00726F9D"/>
    <w:rsid w:val="00736B28"/>
    <w:rsid w:val="0078080C"/>
    <w:rsid w:val="00781267"/>
    <w:rsid w:val="00781866"/>
    <w:rsid w:val="00793393"/>
    <w:rsid w:val="007B11C0"/>
    <w:rsid w:val="007D3D9D"/>
    <w:rsid w:val="007F5493"/>
    <w:rsid w:val="00825C23"/>
    <w:rsid w:val="0083186E"/>
    <w:rsid w:val="008A375C"/>
    <w:rsid w:val="008A6F6B"/>
    <w:rsid w:val="008B2097"/>
    <w:rsid w:val="008D0AF9"/>
    <w:rsid w:val="008F4D8B"/>
    <w:rsid w:val="008F7B7D"/>
    <w:rsid w:val="00926529"/>
    <w:rsid w:val="00940641"/>
    <w:rsid w:val="00945898"/>
    <w:rsid w:val="00956358"/>
    <w:rsid w:val="00974415"/>
    <w:rsid w:val="00985304"/>
    <w:rsid w:val="00A0751D"/>
    <w:rsid w:val="00A96415"/>
    <w:rsid w:val="00AB4812"/>
    <w:rsid w:val="00B32029"/>
    <w:rsid w:val="00BC07A2"/>
    <w:rsid w:val="00BC46A8"/>
    <w:rsid w:val="00C24A85"/>
    <w:rsid w:val="00C40D86"/>
    <w:rsid w:val="00C45CEB"/>
    <w:rsid w:val="00C47E26"/>
    <w:rsid w:val="00C5164E"/>
    <w:rsid w:val="00C747A7"/>
    <w:rsid w:val="00C87BDF"/>
    <w:rsid w:val="00D04CBA"/>
    <w:rsid w:val="00D312A9"/>
    <w:rsid w:val="00D31D19"/>
    <w:rsid w:val="00D46043"/>
    <w:rsid w:val="00D52FF7"/>
    <w:rsid w:val="00D84EFE"/>
    <w:rsid w:val="00DB0F52"/>
    <w:rsid w:val="00DB4F81"/>
    <w:rsid w:val="00DF7DEA"/>
    <w:rsid w:val="00E00E51"/>
    <w:rsid w:val="00E06D51"/>
    <w:rsid w:val="00EF0530"/>
    <w:rsid w:val="00F32FC8"/>
    <w:rsid w:val="00F8377B"/>
    <w:rsid w:val="00FB6427"/>
    <w:rsid w:val="00FF115B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F7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F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F5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E16"/>
    <w:rPr>
      <w:rFonts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rsid w:val="007F54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5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E16"/>
    <w:rPr>
      <w:rFonts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rsid w:val="008F7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23E16"/>
    <w:rPr>
      <w:rFonts w:ascii="Courier New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rsid w:val="00F32FC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32FC8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23E16"/>
    <w:rPr>
      <w:rFonts w:ascii="Courier New" w:hAnsi="Courier New" w:cs="Courier New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04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F7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F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F5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E16"/>
    <w:rPr>
      <w:rFonts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rsid w:val="007F54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5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E16"/>
    <w:rPr>
      <w:rFonts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rsid w:val="008F7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23E16"/>
    <w:rPr>
      <w:rFonts w:ascii="Courier New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rsid w:val="00F32FC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32FC8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23E16"/>
    <w:rPr>
      <w:rFonts w:ascii="Courier New" w:hAnsi="Courier New" w:cs="Courier New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04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4853\Local%20Settings\Temporary%20Internet%20Files\Content.MSO\A396A3F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A396A3FE.dot</Template>
  <TotalTime>0</TotalTime>
  <Pages>2</Pages>
  <Words>342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Course Information</vt:lpstr>
    </vt:vector>
  </TitlesOfParts>
  <Company>Toronto District School Board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Course Information</dc:title>
  <dc:creator>User</dc:creator>
  <cp:lastModifiedBy>Trotta, Grace</cp:lastModifiedBy>
  <cp:revision>2</cp:revision>
  <cp:lastPrinted>2013-09-05T13:28:00Z</cp:lastPrinted>
  <dcterms:created xsi:type="dcterms:W3CDTF">2018-07-09T16:33:00Z</dcterms:created>
  <dcterms:modified xsi:type="dcterms:W3CDTF">2018-07-09T16:33:00Z</dcterms:modified>
</cp:coreProperties>
</file>