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380"/>
      </w:tblGrid>
      <w:tr w:rsidR="00D52FF7" w:rsidRPr="00663794" w:rsidTr="00663794">
        <w:trPr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FF7" w:rsidRPr="00663794" w:rsidRDefault="00D52FF7" w:rsidP="00663794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63794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auto"/>
          </w:tcPr>
          <w:p w:rsidR="00D52FF7" w:rsidRPr="00663794" w:rsidRDefault="007F5060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9 Applied Math (</w:t>
            </w:r>
            <w:r w:rsidR="001B2554" w:rsidRPr="00663794">
              <w:rPr>
                <w:rFonts w:ascii="Arial" w:hAnsi="Arial" w:cs="Arial"/>
                <w:sz w:val="20"/>
                <w:szCs w:val="20"/>
              </w:rPr>
              <w:t>MFM1P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Teacher</w:t>
            </w:r>
            <w:r w:rsidR="00712448" w:rsidRPr="00663794">
              <w:rPr>
                <w:rFonts w:ascii="Arial" w:hAnsi="Arial" w:cs="Arial"/>
                <w:sz w:val="20"/>
                <w:szCs w:val="20"/>
              </w:rPr>
              <w:t>s</w:t>
            </w:r>
            <w:r w:rsidRPr="006637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2554" w:rsidRPr="00663794" w:rsidRDefault="006E4A7E" w:rsidP="00824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(416-395-3140 Ext 20080)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663794" w:rsidRDefault="001B2554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Math</w:t>
            </w:r>
            <w:r w:rsidR="006F0256">
              <w:rPr>
                <w:rFonts w:ascii="Arial" w:hAnsi="Arial" w:cs="Arial"/>
                <w:sz w:val="20"/>
                <w:szCs w:val="20"/>
              </w:rPr>
              <w:t>ematics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663794" w:rsidRDefault="003863DE" w:rsidP="0080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Textbook and Replacement Cost: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663794" w:rsidRDefault="001B2554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Foundations of Mathematics 10</w:t>
            </w:r>
            <w:r w:rsidR="00D52FF7" w:rsidRPr="006637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2448" w:rsidRPr="00663794">
              <w:rPr>
                <w:rFonts w:ascii="Arial" w:hAnsi="Arial" w:cs="Arial"/>
                <w:sz w:val="20"/>
                <w:szCs w:val="20"/>
              </w:rPr>
              <w:t>$90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663794" w:rsidRDefault="001B2554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3-ring binder, calculator, ruler, pencil, graph paper</w:t>
            </w:r>
          </w:p>
        </w:tc>
      </w:tr>
      <w:tr w:rsidR="00D52FF7" w:rsidRPr="00663794" w:rsidTr="00663794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Course Fee: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663794" w:rsidRDefault="001B2554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52FF7" w:rsidRPr="00663794" w:rsidTr="00663794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663794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794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52FF7" w:rsidRPr="00663794" w:rsidTr="00663794"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auto"/>
          </w:tcPr>
          <w:p w:rsidR="00D52FF7" w:rsidRPr="00663794" w:rsidRDefault="00867BAA" w:rsidP="00867BAA">
            <w:pPr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This course enables students to consolidate their understanding of linear relations and extend their problem-solving and algebraic skills through investigation, the effective use of technology, and hands-on activities. Students will develop and graph equations in analytic geometry; solve and apply linear systems, using real-life examples; and explore and interpret graphs of quadratic relations. Students will investigate similar triangles, the trigonometry of right triangles, and the measurement of three-dimensional figures. Students will consolidate their mathematical skills as they solve problems and communicate their thinking.</w:t>
            </w:r>
          </w:p>
          <w:p w:rsidR="00D52FF7" w:rsidRPr="00663794" w:rsidRDefault="00D52FF7" w:rsidP="00663794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663794" w:rsidRDefault="00D52FF7" w:rsidP="00663794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 xml:space="preserve">The course is organized into </w:t>
            </w:r>
            <w:r w:rsidR="00867BAA" w:rsidRPr="00663794">
              <w:rPr>
                <w:rFonts w:ascii="Arial" w:hAnsi="Arial" w:cs="Arial"/>
                <w:sz w:val="20"/>
                <w:szCs w:val="20"/>
              </w:rPr>
              <w:t>three</w:t>
            </w:r>
            <w:r w:rsidRPr="00663794">
              <w:rPr>
                <w:rFonts w:ascii="Arial" w:hAnsi="Arial" w:cs="Arial"/>
                <w:sz w:val="20"/>
                <w:szCs w:val="20"/>
              </w:rPr>
              <w:t xml:space="preserve"> strands:</w:t>
            </w:r>
          </w:p>
          <w:p w:rsidR="00D52FF7" w:rsidRPr="00663794" w:rsidRDefault="00867BAA" w:rsidP="00663794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Measurement and Trigonometry</w:t>
            </w:r>
          </w:p>
          <w:p w:rsidR="00867BAA" w:rsidRPr="00663794" w:rsidRDefault="00867BAA" w:rsidP="00663794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Modelling Linear Relations</w:t>
            </w:r>
          </w:p>
          <w:p w:rsidR="00867BAA" w:rsidRPr="00663794" w:rsidRDefault="00867BAA" w:rsidP="00663794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Quadratic Relations of the Form y = ax</w:t>
            </w:r>
            <w:r w:rsidRPr="006637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63794">
              <w:rPr>
                <w:rFonts w:ascii="Arial" w:hAnsi="Arial" w:cs="Arial"/>
                <w:sz w:val="20"/>
                <w:szCs w:val="20"/>
              </w:rPr>
              <w:t xml:space="preserve"> + bx + c</w:t>
            </w:r>
          </w:p>
          <w:p w:rsidR="00D52FF7" w:rsidRPr="00663794" w:rsidRDefault="00D52FF7" w:rsidP="00663794">
            <w:pPr>
              <w:tabs>
                <w:tab w:val="left" w:pos="19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663794" w:rsidRDefault="00D52FF7" w:rsidP="00663794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 xml:space="preserve">A detailed list of the course expectations can be found at </w:t>
            </w:r>
            <w:hyperlink r:id="rId8" w:history="1">
              <w:r w:rsidR="00867BAA" w:rsidRPr="00663794">
                <w:rPr>
                  <w:rStyle w:val="Hyperlink"/>
                  <w:rFonts w:ascii="Arial" w:hAnsi="Arial" w:cs="Arial"/>
                  <w:sz w:val="18"/>
                  <w:szCs w:val="18"/>
                </w:rPr>
                <w:t>www.edu.gov.on.ca/eng/curriculum/secondary/math.html</w:t>
              </w:r>
            </w:hyperlink>
          </w:p>
        </w:tc>
      </w:tr>
      <w:tr w:rsidR="00D52FF7" w:rsidRPr="00663794" w:rsidTr="00663794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663794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794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D52FF7" w:rsidRPr="00663794" w:rsidTr="00663794">
        <w:trPr>
          <w:trHeight w:val="6956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</w:t>
            </w:r>
            <w:r w:rsidR="00C5164E" w:rsidRPr="00663794">
              <w:rPr>
                <w:rFonts w:ascii="Arial" w:hAnsi="Arial" w:cs="Arial"/>
                <w:sz w:val="20"/>
                <w:szCs w:val="20"/>
              </w:rPr>
              <w:t>e</w:t>
            </w:r>
            <w:r w:rsidRPr="00663794">
              <w:rPr>
                <w:rFonts w:ascii="Arial" w:hAnsi="Arial" w:cs="Arial"/>
                <w:sz w:val="20"/>
                <w:szCs w:val="20"/>
              </w:rPr>
              <w:t>gies will be used in this course, including</w:t>
            </w:r>
            <w:r w:rsidR="00867BAA" w:rsidRPr="00663794">
              <w:rPr>
                <w:rFonts w:ascii="Arial" w:hAnsi="Arial" w:cs="Arial"/>
                <w:sz w:val="20"/>
                <w:szCs w:val="20"/>
              </w:rPr>
              <w:t>, but not limited to,</w:t>
            </w:r>
            <w:r w:rsidRPr="00663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BAA" w:rsidRPr="00663794">
              <w:rPr>
                <w:rFonts w:ascii="Arial" w:hAnsi="Arial" w:cs="Arial"/>
                <w:sz w:val="20"/>
                <w:szCs w:val="20"/>
              </w:rPr>
              <w:t>quizzes, tests, projects and assignments</w:t>
            </w:r>
            <w:r w:rsidRPr="00663794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D52FF7" w:rsidRPr="00663794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FF7" w:rsidRPr="00663794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B8338B" w:rsidRPr="00663794" w:rsidTr="00663794">
              <w:tc>
                <w:tcPr>
                  <w:tcW w:w="3632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35%</w:t>
                  </w:r>
                </w:p>
              </w:tc>
            </w:tr>
            <w:tr w:rsidR="00B8338B" w:rsidRPr="00663794" w:rsidTr="00663794">
              <w:tc>
                <w:tcPr>
                  <w:tcW w:w="3632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B8338B" w:rsidRPr="00663794" w:rsidTr="00663794">
              <w:tc>
                <w:tcPr>
                  <w:tcW w:w="3632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C43B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B8338B" w:rsidRPr="00663794" w:rsidTr="00663794">
              <w:tc>
                <w:tcPr>
                  <w:tcW w:w="3632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B8338B" w:rsidRPr="00932E35" w:rsidRDefault="00B8338B" w:rsidP="00C669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followed: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D52FF7" w:rsidRPr="00663794" w:rsidTr="00663794">
              <w:tc>
                <w:tcPr>
                  <w:tcW w:w="3632" w:type="dxa"/>
                  <w:shd w:val="clear" w:color="auto" w:fill="auto"/>
                </w:tcPr>
                <w:p w:rsidR="00D52FF7" w:rsidRPr="00663794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794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663794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794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D52FF7" w:rsidRPr="00663794" w:rsidTr="00663794">
              <w:tc>
                <w:tcPr>
                  <w:tcW w:w="3632" w:type="dxa"/>
                  <w:shd w:val="clear" w:color="auto" w:fill="auto"/>
                </w:tcPr>
                <w:p w:rsidR="00D52FF7" w:rsidRPr="00663794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794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663794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794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</w:tr>
          </w:tbl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The final Evaluation will be completed during the final 6 weeks of the course and may include a variety of summative activities including an exam, a presentation, a seminar, or an essay or another writing assignment.</w:t>
            </w:r>
          </w:p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D52FF7" w:rsidRPr="00663794" w:rsidRDefault="00D52FF7" w:rsidP="006637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Responsibility</w:t>
            </w:r>
          </w:p>
          <w:p w:rsidR="00D52FF7" w:rsidRPr="00663794" w:rsidRDefault="00D52FF7" w:rsidP="006637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D52FF7" w:rsidRPr="00663794" w:rsidRDefault="00D52FF7" w:rsidP="006637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Independent Work</w:t>
            </w:r>
          </w:p>
          <w:p w:rsidR="00D52FF7" w:rsidRPr="00663794" w:rsidRDefault="00D52FF7" w:rsidP="006637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Collaboration</w:t>
            </w:r>
          </w:p>
          <w:p w:rsidR="00D52FF7" w:rsidRPr="00663794" w:rsidRDefault="00D52FF7" w:rsidP="006637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Initiative</w:t>
            </w:r>
          </w:p>
          <w:p w:rsidR="00DD45A0" w:rsidRPr="00663794" w:rsidRDefault="00D52FF7" w:rsidP="006637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18"/>
                <w:szCs w:val="18"/>
              </w:rPr>
              <w:t>Self-Regulation</w:t>
            </w:r>
          </w:p>
          <w:p w:rsidR="00D52FF7" w:rsidRPr="00663794" w:rsidRDefault="00D52FF7" w:rsidP="006637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3794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</w:t>
            </w:r>
            <w:r w:rsidR="001904CF" w:rsidRPr="00663794">
              <w:rPr>
                <w:rFonts w:ascii="Arial" w:hAnsi="Arial" w:cs="Arial"/>
                <w:sz w:val="20"/>
                <w:szCs w:val="20"/>
              </w:rPr>
              <w:t>refer</w:t>
            </w:r>
            <w:r w:rsidR="00BC07A2" w:rsidRPr="0066379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663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794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663794">
              <w:rPr>
                <w:rFonts w:ascii="Arial" w:hAnsi="Arial" w:cs="Arial"/>
                <w:sz w:val="20"/>
                <w:szCs w:val="20"/>
              </w:rPr>
              <w:t>s in the student agenda.</w:t>
            </w:r>
          </w:p>
        </w:tc>
      </w:tr>
    </w:tbl>
    <w:p w:rsidR="00D52FF7" w:rsidRDefault="00D52FF7" w:rsidP="00DD45A0"/>
    <w:sectPr w:rsidR="00D52FF7" w:rsidSect="00D52FF7">
      <w:headerReference w:type="default" r:id="rId9"/>
      <w:footerReference w:type="even" r:id="rId10"/>
      <w:pgSz w:w="12240" w:h="15840"/>
      <w:pgMar w:top="576" w:right="720" w:bottom="83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42" w:rsidRDefault="00ED4442">
      <w:r>
        <w:separator/>
      </w:r>
    </w:p>
  </w:endnote>
  <w:endnote w:type="continuationSeparator" w:id="0">
    <w:p w:rsidR="00ED4442" w:rsidRDefault="00E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86" w:rsidRDefault="009E3586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586" w:rsidRDefault="009E3586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42" w:rsidRDefault="00ED4442">
      <w:r>
        <w:separator/>
      </w:r>
    </w:p>
  </w:footnote>
  <w:footnote w:type="continuationSeparator" w:id="0">
    <w:p w:rsidR="00ED4442" w:rsidRDefault="00E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9E3586" w:rsidRPr="00663794" w:rsidTr="00663794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3586" w:rsidRPr="00663794" w:rsidRDefault="0027314E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>
                <wp:extent cx="923925" cy="790575"/>
                <wp:effectExtent l="0" t="0" r="9525" b="9525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E3586" w:rsidRPr="00663794" w:rsidRDefault="009E3586" w:rsidP="00663794">
          <w:pPr>
            <w:jc w:val="center"/>
            <w:rPr>
              <w:rFonts w:ascii="Arial" w:hAnsi="Arial" w:cs="Arial"/>
              <w:b/>
            </w:rPr>
          </w:pPr>
          <w:r w:rsidRPr="00663794">
            <w:rPr>
              <w:rFonts w:ascii="Arial" w:hAnsi="Arial" w:cs="Arial"/>
              <w:b/>
              <w:bCs/>
            </w:rPr>
            <w:t>MFM2P</w:t>
          </w:r>
        </w:p>
        <w:p w:rsidR="009E3586" w:rsidRPr="00663794" w:rsidRDefault="009E3586" w:rsidP="00663794">
          <w:pPr>
            <w:jc w:val="center"/>
            <w:rPr>
              <w:rFonts w:ascii="Arial" w:hAnsi="Arial" w:cs="Arial"/>
              <w:b/>
            </w:rPr>
          </w:pPr>
          <w:r w:rsidRPr="00663794">
            <w:rPr>
              <w:rFonts w:ascii="Arial" w:hAnsi="Arial" w:cs="Arial"/>
              <w:b/>
              <w:bCs/>
            </w:rPr>
            <w:t>Foundations of Mathematics</w:t>
          </w:r>
        </w:p>
        <w:p w:rsidR="009E3586" w:rsidRPr="00663794" w:rsidRDefault="009E3586" w:rsidP="00663794">
          <w:pPr>
            <w:jc w:val="center"/>
            <w:rPr>
              <w:rFonts w:ascii="Arial" w:hAnsi="Arial" w:cs="Arial"/>
              <w:b/>
            </w:rPr>
          </w:pPr>
          <w:r w:rsidRPr="00663794">
            <w:rPr>
              <w:rFonts w:ascii="Arial" w:hAnsi="Arial" w:cs="Arial"/>
              <w:b/>
            </w:rPr>
            <w:t>Grade 10, Applied</w:t>
          </w:r>
        </w:p>
        <w:p w:rsidR="009E3586" w:rsidRPr="00663794" w:rsidRDefault="009E3586" w:rsidP="0080008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9E3586" w:rsidRPr="00C5164E" w:rsidRDefault="009E3586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C1"/>
    <w:multiLevelType w:val="hybridMultilevel"/>
    <w:tmpl w:val="1B366590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>
    <w:nsid w:val="1ABE194F"/>
    <w:multiLevelType w:val="hybridMultilevel"/>
    <w:tmpl w:val="67D4A1F2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54"/>
    <w:rsid w:val="000769FC"/>
    <w:rsid w:val="00180E9C"/>
    <w:rsid w:val="001904CF"/>
    <w:rsid w:val="001B2554"/>
    <w:rsid w:val="001F3907"/>
    <w:rsid w:val="0027314E"/>
    <w:rsid w:val="002D3854"/>
    <w:rsid w:val="002E7A09"/>
    <w:rsid w:val="002F1F87"/>
    <w:rsid w:val="00341D92"/>
    <w:rsid w:val="00383DFD"/>
    <w:rsid w:val="003863DE"/>
    <w:rsid w:val="00423955"/>
    <w:rsid w:val="00431A57"/>
    <w:rsid w:val="004978FB"/>
    <w:rsid w:val="00517307"/>
    <w:rsid w:val="00543C95"/>
    <w:rsid w:val="00573C23"/>
    <w:rsid w:val="00594F3B"/>
    <w:rsid w:val="00663794"/>
    <w:rsid w:val="006E4A7E"/>
    <w:rsid w:val="006F0256"/>
    <w:rsid w:val="00712448"/>
    <w:rsid w:val="00721CD2"/>
    <w:rsid w:val="00736B28"/>
    <w:rsid w:val="007F5060"/>
    <w:rsid w:val="007F5493"/>
    <w:rsid w:val="0080008F"/>
    <w:rsid w:val="0082404B"/>
    <w:rsid w:val="00867BAA"/>
    <w:rsid w:val="0090548A"/>
    <w:rsid w:val="009E3586"/>
    <w:rsid w:val="00A53369"/>
    <w:rsid w:val="00AA2E9B"/>
    <w:rsid w:val="00AB4812"/>
    <w:rsid w:val="00B74865"/>
    <w:rsid w:val="00B8338B"/>
    <w:rsid w:val="00BC07A2"/>
    <w:rsid w:val="00C40D86"/>
    <w:rsid w:val="00C45CEB"/>
    <w:rsid w:val="00C5164E"/>
    <w:rsid w:val="00C669A4"/>
    <w:rsid w:val="00D52FF7"/>
    <w:rsid w:val="00DA00FB"/>
    <w:rsid w:val="00DB7B31"/>
    <w:rsid w:val="00DC43B7"/>
    <w:rsid w:val="00DD45A0"/>
    <w:rsid w:val="00EB4A1A"/>
    <w:rsid w:val="00EC4CA7"/>
    <w:rsid w:val="00ED4442"/>
    <w:rsid w:val="00EF476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character" w:styleId="Hyperlink">
    <w:name w:val="Hyperlink"/>
    <w:rsid w:val="0071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character" w:styleId="Hyperlink">
    <w:name w:val="Hyperlink"/>
    <w:rsid w:val="00712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dsbshares\schadmin$\0432\0432-TCH\2.%20%20Course%20Outlines\Math%20Course%20Outlines\www.edu.gov.on.ca\eng\curriculum\secondary\mat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2947</CharactersWithSpaces>
  <SharedDoc>false</SharedDoc>
  <HLinks>
    <vt:vector size="6" baseType="variant"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www.edu.gov.on.ca/eng/curriculum/secondary/math.html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Trotta, Grace</cp:lastModifiedBy>
  <cp:revision>2</cp:revision>
  <cp:lastPrinted>2016-09-06T16:43:00Z</cp:lastPrinted>
  <dcterms:created xsi:type="dcterms:W3CDTF">2018-07-09T16:35:00Z</dcterms:created>
  <dcterms:modified xsi:type="dcterms:W3CDTF">2018-07-09T16:35:00Z</dcterms:modified>
</cp:coreProperties>
</file>