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52B81" w14:textId="7A0A94EE" w:rsidR="0020327C" w:rsidRPr="0020327C" w:rsidRDefault="002B34C7" w:rsidP="002B34C7">
      <w:pPr>
        <w:pStyle w:val="Heading2"/>
        <w:ind w:left="144"/>
        <w:jc w:val="center"/>
        <w:rPr>
          <w:color w:val="0070C0"/>
          <w:sz w:val="22"/>
          <w:szCs w:val="22"/>
        </w:rPr>
      </w:pPr>
      <w:bookmarkStart w:id="0" w:name="_GoBack"/>
      <w:bookmarkEnd w:id="0"/>
      <w:r w:rsidRPr="00735804">
        <w:rPr>
          <w:noProof/>
          <w:color w:val="auto"/>
          <w:sz w:val="24"/>
          <w:szCs w:val="24"/>
          <w:lang w:val="en-CA" w:eastAsia="en-CA"/>
        </w:rPr>
        <w:drawing>
          <wp:anchor distT="0" distB="0" distL="114300" distR="114300" simplePos="0" relativeHeight="251661312" behindDoc="1" locked="0" layoutInCell="1" allowOverlap="1" wp14:anchorId="2BFC274C" wp14:editId="2551A722">
            <wp:simplePos x="0" y="0"/>
            <wp:positionH relativeFrom="column">
              <wp:posOffset>-697865</wp:posOffset>
            </wp:positionH>
            <wp:positionV relativeFrom="page">
              <wp:posOffset>-2540</wp:posOffset>
            </wp:positionV>
            <wp:extent cx="7924800" cy="1488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ty Talk_Template-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24800" cy="1488440"/>
                    </a:xfrm>
                    <a:prstGeom prst="rect">
                      <a:avLst/>
                    </a:prstGeom>
                  </pic:spPr>
                </pic:pic>
              </a:graphicData>
            </a:graphic>
            <wp14:sizeRelH relativeFrom="page">
              <wp14:pctWidth>0</wp14:pctWidth>
            </wp14:sizeRelH>
            <wp14:sizeRelV relativeFrom="page">
              <wp14:pctHeight>0</wp14:pctHeight>
            </wp14:sizeRelV>
          </wp:anchor>
        </w:drawing>
      </w:r>
      <w:r>
        <w:rPr>
          <w:noProof/>
          <w:color w:val="0070C0"/>
          <w:sz w:val="24"/>
          <w:szCs w:val="24"/>
          <w:lang w:val="en-CA" w:eastAsia="en-CA"/>
        </w:rPr>
        <w:br/>
      </w:r>
      <w:r w:rsidRPr="002B34C7">
        <w:rPr>
          <w:b w:val="0"/>
          <w:color w:val="auto"/>
          <w:sz w:val="13"/>
          <w:szCs w:val="13"/>
        </w:rPr>
        <w:br/>
      </w:r>
      <w:r w:rsidR="0020327C" w:rsidRPr="0020327C">
        <w:rPr>
          <w:color w:val="0070C0"/>
          <w:sz w:val="22"/>
          <w:szCs w:val="22"/>
        </w:rPr>
        <w:t>Flu season is coming so learn how to protect yourself and others…don’t let the flu get you down</w:t>
      </w:r>
    </w:p>
    <w:p w14:paraId="4CAFFFCC" w14:textId="3C2844E8" w:rsidR="00127D27" w:rsidRPr="00E966F5" w:rsidRDefault="002B34C7" w:rsidP="00B86270">
      <w:pPr>
        <w:pStyle w:val="Heading2"/>
        <w:ind w:left="144"/>
        <w:rPr>
          <w:b w:val="0"/>
          <w:strike/>
          <w:sz w:val="20"/>
          <w:szCs w:val="20"/>
        </w:rPr>
      </w:pPr>
      <w:r>
        <w:rPr>
          <w:b w:val="0"/>
          <w:color w:val="auto"/>
          <w:sz w:val="20"/>
          <w:szCs w:val="20"/>
        </w:rPr>
        <w:t>A</w:t>
      </w:r>
      <w:r w:rsidR="006A24BC" w:rsidRPr="001A4C48">
        <w:rPr>
          <w:b w:val="0"/>
          <w:color w:val="auto"/>
          <w:sz w:val="20"/>
          <w:szCs w:val="20"/>
        </w:rPr>
        <w:t xml:space="preserve">ccording to Toronto Public Health, almost 20% of us will get the flu (influenza) this year.  </w:t>
      </w:r>
      <w:r w:rsidR="00127D27">
        <w:rPr>
          <w:b w:val="0"/>
          <w:color w:val="auto"/>
          <w:sz w:val="20"/>
          <w:szCs w:val="20"/>
        </w:rPr>
        <w:t xml:space="preserve">The flu </w:t>
      </w:r>
      <w:r w:rsidR="00862E4A">
        <w:rPr>
          <w:b w:val="0"/>
          <w:color w:val="auto"/>
          <w:sz w:val="20"/>
          <w:szCs w:val="20"/>
        </w:rPr>
        <w:t>is</w:t>
      </w:r>
      <w:r w:rsidR="00127D27">
        <w:rPr>
          <w:b w:val="0"/>
          <w:color w:val="auto"/>
          <w:sz w:val="20"/>
          <w:szCs w:val="20"/>
        </w:rPr>
        <w:t xml:space="preserve"> responsible for approximately 12,000 hospitalizations and 3,500 deaths in Canada </w:t>
      </w:r>
      <w:r w:rsidR="00862E4A">
        <w:rPr>
          <w:b w:val="0"/>
          <w:color w:val="auto"/>
          <w:sz w:val="20"/>
          <w:szCs w:val="20"/>
        </w:rPr>
        <w:t>each</w:t>
      </w:r>
      <w:r w:rsidR="00127D27">
        <w:rPr>
          <w:b w:val="0"/>
          <w:color w:val="auto"/>
          <w:sz w:val="20"/>
          <w:szCs w:val="20"/>
        </w:rPr>
        <w:t xml:space="preserve"> year.  </w:t>
      </w:r>
      <w:r w:rsidR="006A24BC" w:rsidRPr="001A4C48">
        <w:rPr>
          <w:b w:val="0"/>
          <w:color w:val="auto"/>
          <w:sz w:val="20"/>
          <w:szCs w:val="20"/>
        </w:rPr>
        <w:t xml:space="preserve">Because the flu spreads easily, you can become infected or infect others if you are not careful.  “Flu season” will hit its peak between late fall and early spring so now is the time to </w:t>
      </w:r>
      <w:r w:rsidR="00735804">
        <w:rPr>
          <w:b w:val="0"/>
          <w:color w:val="auto"/>
          <w:sz w:val="20"/>
          <w:szCs w:val="20"/>
        </w:rPr>
        <w:t>prepare</w:t>
      </w:r>
      <w:r w:rsidR="00AE0428">
        <w:rPr>
          <w:b w:val="0"/>
          <w:color w:val="auto"/>
          <w:sz w:val="20"/>
          <w:szCs w:val="20"/>
        </w:rPr>
        <w:t>.</w:t>
      </w:r>
    </w:p>
    <w:p w14:paraId="6709FFF3" w14:textId="77777777" w:rsidR="00E51C5D" w:rsidRDefault="00E51C5D" w:rsidP="00E966F5">
      <w:pPr>
        <w:ind w:left="144"/>
        <w:rPr>
          <w:b/>
          <w:color w:val="auto"/>
          <w:sz w:val="20"/>
          <w:szCs w:val="20"/>
        </w:rPr>
      </w:pPr>
      <w:r>
        <w:rPr>
          <w:color w:val="auto"/>
          <w:sz w:val="20"/>
          <w:szCs w:val="20"/>
        </w:rPr>
        <w:t xml:space="preserve">At the TDSB, a large number of workers are in close contact with children and in these types of environments, germs can spread easily.  Help keep the flu at bay in the workplace by following these </w:t>
      </w:r>
      <w:r w:rsidRPr="00E966F5">
        <w:rPr>
          <w:b/>
          <w:color w:val="auto"/>
          <w:sz w:val="20"/>
          <w:szCs w:val="20"/>
        </w:rPr>
        <w:t>b</w:t>
      </w:r>
      <w:r>
        <w:rPr>
          <w:b/>
          <w:color w:val="auto"/>
          <w:sz w:val="20"/>
          <w:szCs w:val="20"/>
        </w:rPr>
        <w:t>est practices whenever possible:</w:t>
      </w:r>
    </w:p>
    <w:p w14:paraId="18CF96CC" w14:textId="77777777" w:rsidR="00440904" w:rsidRPr="00440904" w:rsidRDefault="00440904" w:rsidP="00E966F5">
      <w:pPr>
        <w:ind w:left="144"/>
        <w:rPr>
          <w:b/>
          <w:color w:val="auto"/>
          <w:sz w:val="16"/>
          <w:szCs w:val="16"/>
        </w:rPr>
      </w:pPr>
    </w:p>
    <w:p w14:paraId="184CC164" w14:textId="77777777" w:rsidR="00E51C5D" w:rsidRPr="006B1414" w:rsidRDefault="00E51C5D" w:rsidP="00E51C5D">
      <w:pPr>
        <w:pStyle w:val="ListParagraph"/>
        <w:numPr>
          <w:ilvl w:val="0"/>
          <w:numId w:val="6"/>
        </w:numPr>
        <w:rPr>
          <w:sz w:val="20"/>
          <w:szCs w:val="20"/>
        </w:rPr>
      </w:pPr>
      <w:r w:rsidRPr="006B1414">
        <w:rPr>
          <w:b/>
          <w:color w:val="0070C0"/>
          <w:sz w:val="20"/>
          <w:szCs w:val="20"/>
        </w:rPr>
        <w:t>Get the flu shot</w:t>
      </w:r>
      <w:r w:rsidRPr="006B1414">
        <w:rPr>
          <w:sz w:val="20"/>
          <w:szCs w:val="20"/>
        </w:rPr>
        <w:t xml:space="preserve">- it’s the best defence against contracting the flu and will help protect you, your family and everyone you come in contact with during the day. Flu shots must be updated every year because their effectiveness wears off and because strains of the virus can change annually.  Free flu clinics are set up each season so go online to </w:t>
      </w:r>
      <w:hyperlink r:id="rId10" w:history="1">
        <w:r w:rsidRPr="006B1414">
          <w:rPr>
            <w:rStyle w:val="Hyperlink"/>
            <w:sz w:val="20"/>
            <w:szCs w:val="20"/>
          </w:rPr>
          <w:t>http://health.gov.on.ca/en/public/programs/publichealth/flu/finder.aspx</w:t>
        </w:r>
      </w:hyperlink>
      <w:r w:rsidRPr="006B1414">
        <w:rPr>
          <w:sz w:val="20"/>
          <w:szCs w:val="20"/>
        </w:rPr>
        <w:t xml:space="preserve"> and find a clinic near you.</w:t>
      </w:r>
    </w:p>
    <w:p w14:paraId="64A13707" w14:textId="77777777" w:rsidR="00E51C5D" w:rsidRPr="006B1414" w:rsidRDefault="00E51C5D" w:rsidP="00E51C5D">
      <w:pPr>
        <w:pStyle w:val="ListParagraph"/>
        <w:numPr>
          <w:ilvl w:val="0"/>
          <w:numId w:val="6"/>
        </w:numPr>
        <w:rPr>
          <w:sz w:val="20"/>
          <w:szCs w:val="20"/>
        </w:rPr>
      </w:pPr>
      <w:r w:rsidRPr="006B1414">
        <w:rPr>
          <w:b/>
          <w:color w:val="0070C0"/>
          <w:sz w:val="20"/>
          <w:szCs w:val="20"/>
        </w:rPr>
        <w:t>Wash your hands</w:t>
      </w:r>
      <w:r w:rsidRPr="006B1414">
        <w:rPr>
          <w:sz w:val="20"/>
          <w:szCs w:val="20"/>
        </w:rPr>
        <w:t>- even if you get the flu shot, washing your hands with soap and water for at least 15 seconds will help prevent the spread of the virus which can live on your hands for up to 3 hours.</w:t>
      </w:r>
    </w:p>
    <w:p w14:paraId="03392ACA" w14:textId="27C946BD" w:rsidR="00E51C5D" w:rsidRPr="006B1414" w:rsidRDefault="00E51C5D" w:rsidP="00E51C5D">
      <w:pPr>
        <w:pStyle w:val="ListParagraph"/>
        <w:numPr>
          <w:ilvl w:val="0"/>
          <w:numId w:val="6"/>
        </w:numPr>
        <w:rPr>
          <w:sz w:val="20"/>
          <w:szCs w:val="20"/>
        </w:rPr>
      </w:pPr>
      <w:r w:rsidRPr="006B1414">
        <w:rPr>
          <w:b/>
          <w:color w:val="0070C0"/>
          <w:sz w:val="20"/>
          <w:szCs w:val="20"/>
        </w:rPr>
        <w:t>Sneeze into your sleeve</w:t>
      </w:r>
      <w:r w:rsidRPr="006B1414">
        <w:rPr>
          <w:sz w:val="20"/>
          <w:szCs w:val="20"/>
        </w:rPr>
        <w:t>- avoid sneezing or coughing into your hands.  If you do…wash them promptly.   Use a tissue if possible but if you don’t have one, use your sleeve.</w:t>
      </w:r>
    </w:p>
    <w:p w14:paraId="432B3D68" w14:textId="77777777" w:rsidR="00E51C5D" w:rsidRPr="006B1414" w:rsidRDefault="00E51C5D" w:rsidP="00E51C5D">
      <w:pPr>
        <w:pStyle w:val="ListParagraph"/>
        <w:numPr>
          <w:ilvl w:val="0"/>
          <w:numId w:val="6"/>
        </w:numPr>
        <w:rPr>
          <w:sz w:val="20"/>
          <w:szCs w:val="20"/>
        </w:rPr>
      </w:pPr>
      <w:r w:rsidRPr="006B1414">
        <w:rPr>
          <w:b/>
          <w:color w:val="0070C0"/>
          <w:sz w:val="20"/>
          <w:szCs w:val="20"/>
        </w:rPr>
        <w:t>Avoid contact with those who already have the flu</w:t>
      </w:r>
      <w:r w:rsidRPr="006B1414">
        <w:rPr>
          <w:sz w:val="20"/>
          <w:szCs w:val="20"/>
        </w:rPr>
        <w:t>- avoid close contact with those who are already sick or those who seem to be unwell.</w:t>
      </w:r>
    </w:p>
    <w:p w14:paraId="6CDF9732" w14:textId="73B108BF" w:rsidR="00E51C5D" w:rsidRPr="006B1414" w:rsidRDefault="00E51C5D" w:rsidP="00862E4A">
      <w:pPr>
        <w:pStyle w:val="ListParagraph"/>
        <w:numPr>
          <w:ilvl w:val="0"/>
          <w:numId w:val="6"/>
        </w:numPr>
        <w:rPr>
          <w:sz w:val="20"/>
          <w:szCs w:val="20"/>
        </w:rPr>
      </w:pPr>
      <w:r w:rsidRPr="006B1414">
        <w:rPr>
          <w:b/>
          <w:color w:val="0070C0"/>
          <w:sz w:val="20"/>
          <w:szCs w:val="20"/>
        </w:rPr>
        <w:t xml:space="preserve">See a doctor- </w:t>
      </w:r>
      <w:r w:rsidRPr="006B1414">
        <w:rPr>
          <w:sz w:val="20"/>
          <w:szCs w:val="20"/>
        </w:rPr>
        <w:t>if you</w:t>
      </w:r>
      <w:r w:rsidR="00862E4A" w:rsidRPr="006B1414">
        <w:rPr>
          <w:sz w:val="20"/>
          <w:szCs w:val="20"/>
        </w:rPr>
        <w:t xml:space="preserve"> are not feeling better after a few days or if your symptoms get worse.  Review the following chart and</w:t>
      </w:r>
      <w:r w:rsidRPr="006B1414">
        <w:rPr>
          <w:sz w:val="20"/>
          <w:szCs w:val="20"/>
        </w:rPr>
        <w:t xml:space="preserve"> know whether you have the flu or cold. </w:t>
      </w:r>
      <w:r w:rsidR="00862E4A" w:rsidRPr="006B1414">
        <w:rPr>
          <w:sz w:val="20"/>
          <w:szCs w:val="20"/>
        </w:rPr>
        <w:t xml:space="preserve">You can also speak to a nurse by calling </w:t>
      </w:r>
      <w:r w:rsidR="00862E4A" w:rsidRPr="006B1414">
        <w:rPr>
          <w:sz w:val="20"/>
          <w:szCs w:val="20"/>
          <w:u w:val="single"/>
        </w:rPr>
        <w:t>Telehealth</w:t>
      </w:r>
      <w:r w:rsidR="00862E4A" w:rsidRPr="006B1414">
        <w:rPr>
          <w:sz w:val="20"/>
          <w:szCs w:val="20"/>
        </w:rPr>
        <w:t xml:space="preserve"> at 1-866-797-0000</w:t>
      </w:r>
      <w:r w:rsidR="00F77482" w:rsidRPr="006B1414">
        <w:rPr>
          <w:sz w:val="20"/>
          <w:szCs w:val="20"/>
        </w:rPr>
        <w:t xml:space="preserve"> (24hrs/day 7 days/week).</w:t>
      </w:r>
      <w:r w:rsidR="00F77482" w:rsidRPr="006B1414">
        <w:rPr>
          <w:sz w:val="20"/>
          <w:szCs w:val="20"/>
        </w:rPr>
        <w:tab/>
      </w:r>
      <w:r w:rsidR="00F77482" w:rsidRPr="006B1414">
        <w:rPr>
          <w:sz w:val="20"/>
          <w:szCs w:val="20"/>
        </w:rPr>
        <w:tab/>
      </w:r>
      <w:r w:rsidR="00F77482" w:rsidRPr="006B1414">
        <w:rPr>
          <w:sz w:val="20"/>
          <w:szCs w:val="20"/>
        </w:rPr>
        <w:tab/>
      </w:r>
    </w:p>
    <w:p w14:paraId="0ADD0198" w14:textId="46F9C22C" w:rsidR="0097108D" w:rsidRDefault="0097108D" w:rsidP="0097108D">
      <w:r>
        <w:lastRenderedPageBreak/>
        <w:tab/>
      </w:r>
      <w:r>
        <w:tab/>
      </w:r>
      <w:r>
        <w:tab/>
      </w:r>
    </w:p>
    <w:p w14:paraId="6EE80783" w14:textId="77777777" w:rsidR="0097108D" w:rsidRDefault="0097108D" w:rsidP="0097108D">
      <w:pPr>
        <w:rPr>
          <w:color w:val="auto"/>
          <w:sz w:val="20"/>
          <w:szCs w:val="20"/>
        </w:rPr>
      </w:pPr>
      <w:r w:rsidRPr="0097108D">
        <w:rPr>
          <w:noProof/>
          <w:lang w:val="en-CA" w:eastAsia="en-CA"/>
        </w:rPr>
        <w:drawing>
          <wp:inline distT="0" distB="0" distL="0" distR="0" wp14:anchorId="41A917BD" wp14:editId="20BBF104">
            <wp:extent cx="2037014" cy="1549400"/>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38350" cy="1550417"/>
                    </a:xfrm>
                    <a:prstGeom prst="rect">
                      <a:avLst/>
                    </a:prstGeom>
                  </pic:spPr>
                </pic:pic>
              </a:graphicData>
            </a:graphic>
          </wp:inline>
        </w:drawing>
      </w:r>
    </w:p>
    <w:p w14:paraId="4E1D0E98" w14:textId="77777777" w:rsidR="006A24BC" w:rsidRPr="0073040F" w:rsidRDefault="006A24BC" w:rsidP="006A24BC">
      <w:pPr>
        <w:pStyle w:val="ListParagraph"/>
      </w:pPr>
    </w:p>
    <w:tbl>
      <w:tblPr>
        <w:tblStyle w:val="TableGrid"/>
        <w:tblW w:w="0" w:type="auto"/>
        <w:tblLook w:val="04A0" w:firstRow="1" w:lastRow="0" w:firstColumn="1" w:lastColumn="0" w:noHBand="0" w:noVBand="1"/>
      </w:tblPr>
      <w:tblGrid>
        <w:gridCol w:w="1770"/>
        <w:gridCol w:w="1511"/>
        <w:gridCol w:w="1975"/>
      </w:tblGrid>
      <w:tr w:rsidR="006A24BC" w:rsidRPr="007624C6" w14:paraId="0AF6B1D4" w14:textId="77777777" w:rsidTr="00E966F5">
        <w:tc>
          <w:tcPr>
            <w:tcW w:w="3078" w:type="dxa"/>
            <w:shd w:val="clear" w:color="auto" w:fill="C6E0EB" w:themeFill="accent2" w:themeFillTint="33"/>
          </w:tcPr>
          <w:p w14:paraId="4BC5B52F" w14:textId="77777777" w:rsidR="006A24BC" w:rsidRPr="007624C6" w:rsidRDefault="006A24BC" w:rsidP="00362B15">
            <w:pPr>
              <w:rPr>
                <w:b/>
                <w:sz w:val="20"/>
                <w:szCs w:val="20"/>
              </w:rPr>
            </w:pPr>
            <w:r w:rsidRPr="007624C6">
              <w:rPr>
                <w:b/>
                <w:sz w:val="20"/>
                <w:szCs w:val="20"/>
              </w:rPr>
              <w:t>Symptom</w:t>
            </w:r>
          </w:p>
        </w:tc>
        <w:tc>
          <w:tcPr>
            <w:tcW w:w="2610" w:type="dxa"/>
            <w:shd w:val="clear" w:color="auto" w:fill="C6E0EB" w:themeFill="accent2" w:themeFillTint="33"/>
          </w:tcPr>
          <w:p w14:paraId="7AC4AF5A" w14:textId="77777777" w:rsidR="006A24BC" w:rsidRPr="007624C6" w:rsidRDefault="006A24BC" w:rsidP="00362B15">
            <w:pPr>
              <w:rPr>
                <w:b/>
                <w:sz w:val="20"/>
                <w:szCs w:val="20"/>
              </w:rPr>
            </w:pPr>
            <w:r w:rsidRPr="007624C6">
              <w:rPr>
                <w:b/>
                <w:sz w:val="20"/>
                <w:szCs w:val="20"/>
              </w:rPr>
              <w:t>Cold</w:t>
            </w:r>
          </w:p>
        </w:tc>
        <w:tc>
          <w:tcPr>
            <w:tcW w:w="4698" w:type="dxa"/>
            <w:shd w:val="clear" w:color="auto" w:fill="C6E0EB" w:themeFill="accent2" w:themeFillTint="33"/>
          </w:tcPr>
          <w:p w14:paraId="66880362" w14:textId="77777777" w:rsidR="006A24BC" w:rsidRPr="007624C6" w:rsidRDefault="006A24BC" w:rsidP="00362B15">
            <w:pPr>
              <w:rPr>
                <w:b/>
                <w:sz w:val="20"/>
                <w:szCs w:val="20"/>
              </w:rPr>
            </w:pPr>
            <w:r w:rsidRPr="007624C6">
              <w:rPr>
                <w:b/>
                <w:sz w:val="20"/>
                <w:szCs w:val="20"/>
              </w:rPr>
              <w:t>Flu</w:t>
            </w:r>
          </w:p>
        </w:tc>
      </w:tr>
      <w:tr w:rsidR="006A24BC" w:rsidRPr="007624C6" w14:paraId="2E9DEF8F" w14:textId="77777777" w:rsidTr="00362B15">
        <w:tc>
          <w:tcPr>
            <w:tcW w:w="3078" w:type="dxa"/>
          </w:tcPr>
          <w:p w14:paraId="3510C2B8" w14:textId="77777777" w:rsidR="006A24BC" w:rsidRPr="007624C6" w:rsidRDefault="006A24BC" w:rsidP="00362B15">
            <w:pPr>
              <w:rPr>
                <w:b/>
                <w:sz w:val="20"/>
                <w:szCs w:val="20"/>
              </w:rPr>
            </w:pPr>
            <w:r w:rsidRPr="007624C6">
              <w:rPr>
                <w:b/>
                <w:sz w:val="20"/>
                <w:szCs w:val="20"/>
              </w:rPr>
              <w:t>Fever</w:t>
            </w:r>
          </w:p>
        </w:tc>
        <w:tc>
          <w:tcPr>
            <w:tcW w:w="2610" w:type="dxa"/>
          </w:tcPr>
          <w:p w14:paraId="5F0AE93B" w14:textId="77777777" w:rsidR="006A24BC" w:rsidRPr="007624C6" w:rsidRDefault="006A24BC" w:rsidP="00362B15">
            <w:pPr>
              <w:rPr>
                <w:b/>
                <w:sz w:val="20"/>
                <w:szCs w:val="20"/>
              </w:rPr>
            </w:pPr>
            <w:r w:rsidRPr="007624C6">
              <w:rPr>
                <w:b/>
                <w:sz w:val="20"/>
                <w:szCs w:val="20"/>
              </w:rPr>
              <w:t>Rare</w:t>
            </w:r>
          </w:p>
        </w:tc>
        <w:tc>
          <w:tcPr>
            <w:tcW w:w="4698" w:type="dxa"/>
          </w:tcPr>
          <w:p w14:paraId="40A254D9" w14:textId="77777777" w:rsidR="006A24BC" w:rsidRPr="007624C6" w:rsidRDefault="006A24BC" w:rsidP="00362B15">
            <w:pPr>
              <w:rPr>
                <w:b/>
                <w:sz w:val="20"/>
                <w:szCs w:val="20"/>
              </w:rPr>
            </w:pPr>
            <w:r w:rsidRPr="007624C6">
              <w:rPr>
                <w:b/>
                <w:sz w:val="20"/>
                <w:szCs w:val="20"/>
              </w:rPr>
              <w:t>Common; starts suddenly and lasts 3-4 days; not everyone with flu will have a fever</w:t>
            </w:r>
          </w:p>
        </w:tc>
      </w:tr>
      <w:tr w:rsidR="006A24BC" w:rsidRPr="007624C6" w14:paraId="75012474" w14:textId="77777777" w:rsidTr="00362B15">
        <w:tc>
          <w:tcPr>
            <w:tcW w:w="3078" w:type="dxa"/>
          </w:tcPr>
          <w:p w14:paraId="7BFC1BE9" w14:textId="77777777" w:rsidR="006A24BC" w:rsidRPr="007624C6" w:rsidRDefault="006A24BC" w:rsidP="00362B15">
            <w:pPr>
              <w:rPr>
                <w:b/>
                <w:sz w:val="20"/>
                <w:szCs w:val="20"/>
              </w:rPr>
            </w:pPr>
            <w:r w:rsidRPr="007624C6">
              <w:rPr>
                <w:b/>
                <w:sz w:val="20"/>
                <w:szCs w:val="20"/>
              </w:rPr>
              <w:t>General Aches/Pains</w:t>
            </w:r>
          </w:p>
        </w:tc>
        <w:tc>
          <w:tcPr>
            <w:tcW w:w="2610" w:type="dxa"/>
          </w:tcPr>
          <w:p w14:paraId="11C7A71E" w14:textId="77777777" w:rsidR="006A24BC" w:rsidRPr="007624C6" w:rsidRDefault="006A24BC" w:rsidP="00362B15">
            <w:pPr>
              <w:rPr>
                <w:b/>
                <w:sz w:val="20"/>
                <w:szCs w:val="20"/>
              </w:rPr>
            </w:pPr>
            <w:r w:rsidRPr="007624C6">
              <w:rPr>
                <w:b/>
                <w:sz w:val="20"/>
                <w:szCs w:val="20"/>
              </w:rPr>
              <w:t>Sometimes, mild</w:t>
            </w:r>
          </w:p>
        </w:tc>
        <w:tc>
          <w:tcPr>
            <w:tcW w:w="4698" w:type="dxa"/>
          </w:tcPr>
          <w:p w14:paraId="3362EBE9" w14:textId="77777777" w:rsidR="006A24BC" w:rsidRPr="007624C6" w:rsidRDefault="006A24BC" w:rsidP="00362B15">
            <w:pPr>
              <w:rPr>
                <w:b/>
                <w:sz w:val="20"/>
                <w:szCs w:val="20"/>
              </w:rPr>
            </w:pPr>
            <w:r w:rsidRPr="007624C6">
              <w:rPr>
                <w:b/>
                <w:sz w:val="20"/>
                <w:szCs w:val="20"/>
              </w:rPr>
              <w:t>Common, often severe</w:t>
            </w:r>
          </w:p>
        </w:tc>
      </w:tr>
      <w:tr w:rsidR="006A24BC" w:rsidRPr="007624C6" w14:paraId="2D7A849F" w14:textId="77777777" w:rsidTr="00362B15">
        <w:tc>
          <w:tcPr>
            <w:tcW w:w="3078" w:type="dxa"/>
          </w:tcPr>
          <w:p w14:paraId="47E07C0A" w14:textId="77777777" w:rsidR="006A24BC" w:rsidRPr="007624C6" w:rsidRDefault="006A24BC" w:rsidP="00362B15">
            <w:pPr>
              <w:rPr>
                <w:b/>
                <w:sz w:val="20"/>
                <w:szCs w:val="20"/>
              </w:rPr>
            </w:pPr>
            <w:r w:rsidRPr="007624C6">
              <w:rPr>
                <w:b/>
                <w:sz w:val="20"/>
                <w:szCs w:val="20"/>
              </w:rPr>
              <w:t>Muscle Aches</w:t>
            </w:r>
          </w:p>
        </w:tc>
        <w:tc>
          <w:tcPr>
            <w:tcW w:w="2610" w:type="dxa"/>
          </w:tcPr>
          <w:p w14:paraId="0A0355E4" w14:textId="77777777" w:rsidR="006A24BC" w:rsidRPr="007624C6" w:rsidRDefault="006A24BC" w:rsidP="00362B15">
            <w:pPr>
              <w:rPr>
                <w:b/>
                <w:sz w:val="20"/>
                <w:szCs w:val="20"/>
              </w:rPr>
            </w:pPr>
            <w:r w:rsidRPr="007624C6">
              <w:rPr>
                <w:b/>
                <w:sz w:val="20"/>
                <w:szCs w:val="20"/>
              </w:rPr>
              <w:t>Sometimes, usually mild</w:t>
            </w:r>
          </w:p>
        </w:tc>
        <w:tc>
          <w:tcPr>
            <w:tcW w:w="4698" w:type="dxa"/>
          </w:tcPr>
          <w:p w14:paraId="3D02BF87" w14:textId="77777777" w:rsidR="006A24BC" w:rsidRPr="007624C6" w:rsidRDefault="006A24BC" w:rsidP="00362B15">
            <w:pPr>
              <w:rPr>
                <w:b/>
                <w:sz w:val="20"/>
                <w:szCs w:val="20"/>
              </w:rPr>
            </w:pPr>
            <w:r w:rsidRPr="007624C6">
              <w:rPr>
                <w:b/>
                <w:sz w:val="20"/>
                <w:szCs w:val="20"/>
              </w:rPr>
              <w:t>Often, can be severe</w:t>
            </w:r>
          </w:p>
        </w:tc>
      </w:tr>
      <w:tr w:rsidR="006A24BC" w:rsidRPr="007624C6" w14:paraId="0B9B20F0" w14:textId="77777777" w:rsidTr="00362B15">
        <w:tc>
          <w:tcPr>
            <w:tcW w:w="3078" w:type="dxa"/>
          </w:tcPr>
          <w:p w14:paraId="503E94CA" w14:textId="77777777" w:rsidR="006A24BC" w:rsidRPr="007624C6" w:rsidRDefault="006A24BC" w:rsidP="00362B15">
            <w:pPr>
              <w:rPr>
                <w:b/>
                <w:sz w:val="20"/>
                <w:szCs w:val="20"/>
              </w:rPr>
            </w:pPr>
            <w:r w:rsidRPr="007624C6">
              <w:rPr>
                <w:b/>
                <w:sz w:val="20"/>
                <w:szCs w:val="20"/>
              </w:rPr>
              <w:t>Feeling tired and weak</w:t>
            </w:r>
          </w:p>
        </w:tc>
        <w:tc>
          <w:tcPr>
            <w:tcW w:w="2610" w:type="dxa"/>
          </w:tcPr>
          <w:p w14:paraId="0BDED8BC" w14:textId="77777777" w:rsidR="006A24BC" w:rsidRPr="007624C6" w:rsidRDefault="006A24BC" w:rsidP="00362B15">
            <w:pPr>
              <w:rPr>
                <w:b/>
                <w:sz w:val="20"/>
                <w:szCs w:val="20"/>
              </w:rPr>
            </w:pPr>
            <w:r w:rsidRPr="007624C6">
              <w:rPr>
                <w:b/>
                <w:sz w:val="20"/>
                <w:szCs w:val="20"/>
              </w:rPr>
              <w:t>Sometimes, mild</w:t>
            </w:r>
          </w:p>
        </w:tc>
        <w:tc>
          <w:tcPr>
            <w:tcW w:w="4698" w:type="dxa"/>
          </w:tcPr>
          <w:p w14:paraId="7F2D657B" w14:textId="77777777" w:rsidR="006A24BC" w:rsidRPr="007624C6" w:rsidRDefault="006A24BC" w:rsidP="00362B15">
            <w:pPr>
              <w:rPr>
                <w:b/>
                <w:sz w:val="20"/>
                <w:szCs w:val="20"/>
              </w:rPr>
            </w:pPr>
            <w:r w:rsidRPr="007624C6">
              <w:rPr>
                <w:b/>
                <w:sz w:val="20"/>
                <w:szCs w:val="20"/>
              </w:rPr>
              <w:t>Common, may last 2-3 weeks or more</w:t>
            </w:r>
          </w:p>
        </w:tc>
      </w:tr>
      <w:tr w:rsidR="006A24BC" w:rsidRPr="007624C6" w14:paraId="19C5C365" w14:textId="77777777" w:rsidTr="00362B15">
        <w:tc>
          <w:tcPr>
            <w:tcW w:w="3078" w:type="dxa"/>
          </w:tcPr>
          <w:p w14:paraId="594B5766" w14:textId="77777777" w:rsidR="006A24BC" w:rsidRPr="007624C6" w:rsidRDefault="006A24BC" w:rsidP="00362B15">
            <w:pPr>
              <w:rPr>
                <w:b/>
                <w:sz w:val="20"/>
                <w:szCs w:val="20"/>
              </w:rPr>
            </w:pPr>
            <w:r w:rsidRPr="007624C6">
              <w:rPr>
                <w:b/>
                <w:sz w:val="20"/>
                <w:szCs w:val="20"/>
              </w:rPr>
              <w:t>Fatigue (extreme tiredness)</w:t>
            </w:r>
          </w:p>
        </w:tc>
        <w:tc>
          <w:tcPr>
            <w:tcW w:w="2610" w:type="dxa"/>
          </w:tcPr>
          <w:p w14:paraId="3A64D772" w14:textId="77777777" w:rsidR="006A24BC" w:rsidRPr="007624C6" w:rsidRDefault="006A24BC" w:rsidP="00362B15">
            <w:pPr>
              <w:rPr>
                <w:b/>
                <w:sz w:val="20"/>
                <w:szCs w:val="20"/>
              </w:rPr>
            </w:pPr>
            <w:r w:rsidRPr="007624C6">
              <w:rPr>
                <w:b/>
                <w:sz w:val="20"/>
                <w:szCs w:val="20"/>
              </w:rPr>
              <w:t>Unusual</w:t>
            </w:r>
          </w:p>
        </w:tc>
        <w:tc>
          <w:tcPr>
            <w:tcW w:w="4698" w:type="dxa"/>
          </w:tcPr>
          <w:p w14:paraId="49A9FFC3" w14:textId="77777777" w:rsidR="006A24BC" w:rsidRPr="007624C6" w:rsidRDefault="006A24BC" w:rsidP="00362B15">
            <w:pPr>
              <w:rPr>
                <w:b/>
                <w:sz w:val="20"/>
                <w:szCs w:val="20"/>
              </w:rPr>
            </w:pPr>
            <w:r w:rsidRPr="007624C6">
              <w:rPr>
                <w:b/>
                <w:sz w:val="20"/>
                <w:szCs w:val="20"/>
              </w:rPr>
              <w:t>Common, starts early</w:t>
            </w:r>
          </w:p>
        </w:tc>
      </w:tr>
      <w:tr w:rsidR="006A24BC" w:rsidRPr="007624C6" w14:paraId="50909847" w14:textId="77777777" w:rsidTr="00362B15">
        <w:tc>
          <w:tcPr>
            <w:tcW w:w="3078" w:type="dxa"/>
          </w:tcPr>
          <w:p w14:paraId="52E5AE37" w14:textId="77777777" w:rsidR="006A24BC" w:rsidRPr="007624C6" w:rsidRDefault="006A24BC" w:rsidP="00362B15">
            <w:pPr>
              <w:rPr>
                <w:b/>
                <w:sz w:val="20"/>
                <w:szCs w:val="20"/>
              </w:rPr>
            </w:pPr>
            <w:r w:rsidRPr="007624C6">
              <w:rPr>
                <w:b/>
                <w:sz w:val="20"/>
                <w:szCs w:val="20"/>
              </w:rPr>
              <w:t>Sneezing</w:t>
            </w:r>
          </w:p>
        </w:tc>
        <w:tc>
          <w:tcPr>
            <w:tcW w:w="2610" w:type="dxa"/>
          </w:tcPr>
          <w:p w14:paraId="50595A7B" w14:textId="77777777" w:rsidR="006A24BC" w:rsidRPr="007624C6" w:rsidRDefault="006A24BC" w:rsidP="00362B15">
            <w:pPr>
              <w:rPr>
                <w:b/>
                <w:sz w:val="20"/>
                <w:szCs w:val="20"/>
              </w:rPr>
            </w:pPr>
            <w:r w:rsidRPr="007624C6">
              <w:rPr>
                <w:b/>
                <w:sz w:val="20"/>
                <w:szCs w:val="20"/>
              </w:rPr>
              <w:t>Common</w:t>
            </w:r>
          </w:p>
        </w:tc>
        <w:tc>
          <w:tcPr>
            <w:tcW w:w="4698" w:type="dxa"/>
          </w:tcPr>
          <w:p w14:paraId="0EF10D1C" w14:textId="77777777" w:rsidR="006A24BC" w:rsidRPr="007624C6" w:rsidRDefault="006A24BC" w:rsidP="00362B15">
            <w:pPr>
              <w:rPr>
                <w:b/>
                <w:sz w:val="20"/>
                <w:szCs w:val="20"/>
              </w:rPr>
            </w:pPr>
            <w:r w:rsidRPr="007624C6">
              <w:rPr>
                <w:b/>
                <w:sz w:val="20"/>
                <w:szCs w:val="20"/>
              </w:rPr>
              <w:t>Sometimes</w:t>
            </w:r>
          </w:p>
        </w:tc>
      </w:tr>
      <w:tr w:rsidR="006A24BC" w:rsidRPr="007624C6" w14:paraId="1A931BDC" w14:textId="77777777" w:rsidTr="00362B15">
        <w:tc>
          <w:tcPr>
            <w:tcW w:w="3078" w:type="dxa"/>
          </w:tcPr>
          <w:p w14:paraId="562EC2F8" w14:textId="77777777" w:rsidR="006A24BC" w:rsidRPr="007624C6" w:rsidRDefault="006A24BC" w:rsidP="00362B15">
            <w:pPr>
              <w:rPr>
                <w:b/>
                <w:sz w:val="20"/>
                <w:szCs w:val="20"/>
              </w:rPr>
            </w:pPr>
            <w:r w:rsidRPr="007624C6">
              <w:rPr>
                <w:b/>
                <w:sz w:val="20"/>
                <w:szCs w:val="20"/>
              </w:rPr>
              <w:t>Complications</w:t>
            </w:r>
          </w:p>
        </w:tc>
        <w:tc>
          <w:tcPr>
            <w:tcW w:w="2610" w:type="dxa"/>
          </w:tcPr>
          <w:p w14:paraId="5AFA8281" w14:textId="77777777" w:rsidR="006A24BC" w:rsidRPr="007624C6" w:rsidRDefault="006A24BC" w:rsidP="00362B15">
            <w:pPr>
              <w:rPr>
                <w:b/>
                <w:sz w:val="20"/>
                <w:szCs w:val="20"/>
              </w:rPr>
            </w:pPr>
            <w:r w:rsidRPr="007624C6">
              <w:rPr>
                <w:b/>
                <w:sz w:val="20"/>
                <w:szCs w:val="20"/>
              </w:rPr>
              <w:t>Can lead to sinus congestion or ear ache</w:t>
            </w:r>
          </w:p>
        </w:tc>
        <w:tc>
          <w:tcPr>
            <w:tcW w:w="4698" w:type="dxa"/>
          </w:tcPr>
          <w:p w14:paraId="576D639B" w14:textId="77777777" w:rsidR="006A24BC" w:rsidRPr="007624C6" w:rsidRDefault="006A24BC" w:rsidP="00362B15">
            <w:pPr>
              <w:rPr>
                <w:b/>
                <w:sz w:val="20"/>
                <w:szCs w:val="20"/>
              </w:rPr>
            </w:pPr>
            <w:r w:rsidRPr="007624C6">
              <w:rPr>
                <w:b/>
                <w:sz w:val="20"/>
                <w:szCs w:val="20"/>
              </w:rPr>
              <w:t>Can lead to pneumonia and respiratory failure in worst cases and can worsen a chronic respiratory illness; can be life threatening</w:t>
            </w:r>
          </w:p>
        </w:tc>
      </w:tr>
      <w:tr w:rsidR="006A24BC" w:rsidRPr="007624C6" w14:paraId="49B84E02" w14:textId="77777777" w:rsidTr="00362B15">
        <w:tc>
          <w:tcPr>
            <w:tcW w:w="3078" w:type="dxa"/>
          </w:tcPr>
          <w:p w14:paraId="18A085A4" w14:textId="77777777" w:rsidR="006A24BC" w:rsidRPr="007624C6" w:rsidRDefault="006A24BC" w:rsidP="00362B15">
            <w:pPr>
              <w:rPr>
                <w:b/>
                <w:sz w:val="20"/>
                <w:szCs w:val="20"/>
              </w:rPr>
            </w:pPr>
            <w:r w:rsidRPr="007624C6">
              <w:rPr>
                <w:b/>
                <w:sz w:val="20"/>
                <w:szCs w:val="20"/>
              </w:rPr>
              <w:t>Chest discomfort and/or coughing</w:t>
            </w:r>
          </w:p>
        </w:tc>
        <w:tc>
          <w:tcPr>
            <w:tcW w:w="2610" w:type="dxa"/>
          </w:tcPr>
          <w:p w14:paraId="61339953" w14:textId="77777777" w:rsidR="006A24BC" w:rsidRPr="007624C6" w:rsidRDefault="006A24BC" w:rsidP="00362B15">
            <w:pPr>
              <w:rPr>
                <w:b/>
                <w:sz w:val="20"/>
                <w:szCs w:val="20"/>
              </w:rPr>
            </w:pPr>
            <w:r w:rsidRPr="007624C6">
              <w:rPr>
                <w:b/>
                <w:sz w:val="20"/>
                <w:szCs w:val="20"/>
              </w:rPr>
              <w:t>Sometimes, mild to moderate</w:t>
            </w:r>
          </w:p>
        </w:tc>
        <w:tc>
          <w:tcPr>
            <w:tcW w:w="4698" w:type="dxa"/>
          </w:tcPr>
          <w:p w14:paraId="138E0090" w14:textId="77777777" w:rsidR="006A24BC" w:rsidRPr="007624C6" w:rsidRDefault="006A24BC" w:rsidP="00362B15">
            <w:pPr>
              <w:rPr>
                <w:b/>
                <w:sz w:val="20"/>
                <w:szCs w:val="20"/>
              </w:rPr>
            </w:pPr>
            <w:r w:rsidRPr="007624C6">
              <w:rPr>
                <w:b/>
                <w:sz w:val="20"/>
                <w:szCs w:val="20"/>
              </w:rPr>
              <w:t>Common, can become severe</w:t>
            </w:r>
          </w:p>
        </w:tc>
      </w:tr>
    </w:tbl>
    <w:p w14:paraId="074EB8B0" w14:textId="77777777" w:rsidR="00BF6D1E" w:rsidRPr="00BE382A" w:rsidRDefault="00BF6D1E" w:rsidP="00106DC1">
      <w:pPr>
        <w:ind w:left="180"/>
        <w:jc w:val="center"/>
        <w:rPr>
          <w:rFonts w:ascii="Calibri" w:hAnsi="Calibri"/>
          <w:b/>
          <w:noProof/>
          <w:sz w:val="16"/>
          <w:szCs w:val="16"/>
          <w:lang w:eastAsia="en-US"/>
        </w:rPr>
      </w:pPr>
    </w:p>
    <w:p w14:paraId="2EFD739C" w14:textId="61894683" w:rsidR="00952A05" w:rsidRPr="007624C6" w:rsidRDefault="00E51C5D" w:rsidP="00106DC1">
      <w:pPr>
        <w:ind w:left="180"/>
        <w:jc w:val="center"/>
        <w:rPr>
          <w:rFonts w:ascii="Calibri" w:hAnsi="Calibri"/>
          <w:b/>
          <w:noProof/>
          <w:sz w:val="20"/>
          <w:szCs w:val="20"/>
          <w:lang w:eastAsia="en-US"/>
        </w:rPr>
      </w:pPr>
      <w:r w:rsidRPr="007624C6">
        <w:rPr>
          <w:rFonts w:ascii="Calibri" w:hAnsi="Calibri"/>
          <w:b/>
          <w:noProof/>
          <w:sz w:val="20"/>
          <w:szCs w:val="20"/>
          <w:lang w:eastAsia="en-US"/>
        </w:rPr>
        <w:t>Ensure your school has handwashing signs posted in each washroom….spread the word…not the flu</w:t>
      </w:r>
      <w:r w:rsidR="004662F0" w:rsidRPr="007624C6">
        <w:rPr>
          <w:rFonts w:ascii="Calibri" w:hAnsi="Calibri"/>
          <w:b/>
          <w:noProof/>
          <w:sz w:val="20"/>
          <w:szCs w:val="20"/>
          <w:lang w:eastAsia="en-US"/>
        </w:rPr>
        <w:t>.</w:t>
      </w:r>
      <w:r w:rsidRPr="007624C6">
        <w:rPr>
          <w:rFonts w:ascii="Calibri" w:hAnsi="Calibri"/>
          <w:b/>
          <w:noProof/>
          <w:sz w:val="20"/>
          <w:szCs w:val="20"/>
          <w:lang w:eastAsia="en-US"/>
        </w:rPr>
        <w:t xml:space="preserve"> </w:t>
      </w:r>
    </w:p>
    <w:p w14:paraId="4CD46519" w14:textId="688B96D3" w:rsidR="004662F0" w:rsidRPr="007624C6" w:rsidRDefault="004662F0" w:rsidP="00106DC1">
      <w:pPr>
        <w:ind w:left="180"/>
        <w:jc w:val="center"/>
        <w:rPr>
          <w:rFonts w:ascii="Calibri" w:hAnsi="Calibri"/>
          <w:b/>
          <w:noProof/>
          <w:sz w:val="20"/>
          <w:szCs w:val="20"/>
          <w:lang w:eastAsia="en-US"/>
        </w:rPr>
      </w:pPr>
      <w:r w:rsidRPr="007624C6">
        <w:rPr>
          <w:rFonts w:ascii="Calibri" w:hAnsi="Calibri"/>
          <w:b/>
          <w:noProof/>
          <w:sz w:val="20"/>
          <w:szCs w:val="20"/>
          <w:lang w:eastAsia="en-US"/>
        </w:rPr>
        <w:t>For more information on the flu</w:t>
      </w:r>
      <w:r w:rsidR="00BF6D1E" w:rsidRPr="007624C6">
        <w:rPr>
          <w:rFonts w:ascii="Calibri" w:hAnsi="Calibri"/>
          <w:b/>
          <w:noProof/>
          <w:sz w:val="20"/>
          <w:szCs w:val="20"/>
          <w:lang w:eastAsia="en-US"/>
        </w:rPr>
        <w:t xml:space="preserve"> or to obtain signs</w:t>
      </w:r>
      <w:r w:rsidRPr="007624C6">
        <w:rPr>
          <w:rFonts w:ascii="Calibri" w:hAnsi="Calibri"/>
          <w:b/>
          <w:noProof/>
          <w:sz w:val="20"/>
          <w:szCs w:val="20"/>
          <w:lang w:eastAsia="en-US"/>
        </w:rPr>
        <w:t xml:space="preserve">, please visit </w:t>
      </w:r>
      <w:r w:rsidR="00952A05" w:rsidRPr="007624C6">
        <w:rPr>
          <w:rFonts w:ascii="Calibri" w:hAnsi="Calibri"/>
          <w:b/>
          <w:noProof/>
          <w:sz w:val="20"/>
          <w:szCs w:val="20"/>
          <w:lang w:eastAsia="en-US"/>
        </w:rPr>
        <w:t>the</w:t>
      </w:r>
      <w:r w:rsidR="00E51C5D" w:rsidRPr="007624C6">
        <w:rPr>
          <w:rFonts w:ascii="Calibri" w:hAnsi="Calibri"/>
          <w:b/>
          <w:noProof/>
          <w:sz w:val="20"/>
          <w:szCs w:val="20"/>
          <w:lang w:eastAsia="en-US"/>
        </w:rPr>
        <w:t xml:space="preserve"> Occupational Health and Safety</w:t>
      </w:r>
      <w:r w:rsidR="00952A05" w:rsidRPr="007624C6">
        <w:rPr>
          <w:rFonts w:ascii="Calibri" w:hAnsi="Calibri"/>
          <w:b/>
          <w:noProof/>
          <w:sz w:val="20"/>
          <w:szCs w:val="20"/>
          <w:lang w:eastAsia="en-US"/>
        </w:rPr>
        <w:t xml:space="preserve"> </w:t>
      </w:r>
      <w:r w:rsidRPr="007624C6">
        <w:rPr>
          <w:rFonts w:ascii="Calibri" w:hAnsi="Calibri"/>
          <w:b/>
          <w:noProof/>
          <w:sz w:val="20"/>
          <w:szCs w:val="20"/>
          <w:lang w:eastAsia="en-US"/>
        </w:rPr>
        <w:t>webpage or call</w:t>
      </w:r>
    </w:p>
    <w:p w14:paraId="73081240" w14:textId="7967EFDF" w:rsidR="00E51C5D" w:rsidRPr="007624C6" w:rsidRDefault="00B571C8" w:rsidP="00106DC1">
      <w:pPr>
        <w:ind w:left="180"/>
        <w:jc w:val="center"/>
        <w:rPr>
          <w:rFonts w:ascii="Calibri" w:hAnsi="Calibri"/>
          <w:b/>
          <w:noProof/>
          <w:sz w:val="20"/>
          <w:szCs w:val="20"/>
          <w:lang w:eastAsia="en-US"/>
        </w:rPr>
      </w:pPr>
      <w:r w:rsidRPr="007624C6">
        <w:rPr>
          <w:rFonts w:ascii="Calibri" w:hAnsi="Calibri"/>
          <w:b/>
          <w:noProof/>
          <w:sz w:val="20"/>
          <w:szCs w:val="20"/>
          <w:lang w:eastAsia="en-US"/>
        </w:rPr>
        <w:t xml:space="preserve"> 416-397-3210</w:t>
      </w:r>
      <w:r w:rsidR="00FB7634">
        <w:rPr>
          <w:rFonts w:ascii="Calibri" w:hAnsi="Calibri"/>
          <w:b/>
          <w:noProof/>
          <w:sz w:val="20"/>
          <w:szCs w:val="20"/>
          <w:lang w:eastAsia="en-US"/>
        </w:rPr>
        <w:t>.  Information is adapted from TPH website.</w:t>
      </w:r>
    </w:p>
    <w:p w14:paraId="250F5EF0" w14:textId="77777777" w:rsidR="006525D9" w:rsidRDefault="006525D9" w:rsidP="006525D9">
      <w:pPr>
        <w:ind w:left="180"/>
        <w:jc w:val="center"/>
        <w:rPr>
          <w:b/>
          <w:i/>
          <w:color w:val="00B0F0"/>
          <w:sz w:val="22"/>
          <w:szCs w:val="22"/>
        </w:rPr>
        <w:sectPr w:rsidR="006525D9" w:rsidSect="00E51C5D">
          <w:footerReference w:type="default" r:id="rId12"/>
          <w:type w:val="continuous"/>
          <w:pgSz w:w="12240" w:h="15840"/>
          <w:pgMar w:top="1440" w:right="720" w:bottom="1440" w:left="720" w:header="720" w:footer="720" w:gutter="0"/>
          <w:cols w:num="2" w:space="720"/>
          <w:titlePg/>
          <w:docGrid w:linePitch="360"/>
        </w:sectPr>
      </w:pPr>
    </w:p>
    <w:p w14:paraId="0B02CC57" w14:textId="26F7879F" w:rsidR="002E5FD7" w:rsidRDefault="00323FF7" w:rsidP="006B2C47">
      <w:pPr>
        <w:ind w:left="5940" w:firstLine="540"/>
        <w:rPr>
          <w:noProof/>
          <w:lang w:eastAsia="en-US"/>
        </w:rPr>
      </w:pPr>
      <w:r>
        <w:rPr>
          <w:b/>
          <w:i/>
          <w:color w:val="00B0F0"/>
          <w:sz w:val="22"/>
          <w:szCs w:val="22"/>
        </w:rPr>
        <w:lastRenderedPageBreak/>
        <w:t xml:space="preserve">       </w:t>
      </w:r>
      <w:r w:rsidR="006B2C47" w:rsidRPr="00106DC1">
        <w:rPr>
          <w:b/>
          <w:i/>
          <w:color w:val="00B0F0"/>
          <w:sz w:val="22"/>
          <w:szCs w:val="22"/>
        </w:rPr>
        <w:t>Work Safe by Working Smart!</w:t>
      </w:r>
      <w:r w:rsidR="006525D9">
        <w:rPr>
          <w:noProof/>
          <w:lang w:val="en-CA" w:eastAsia="en-CA"/>
        </w:rPr>
        <w:drawing>
          <wp:anchor distT="0" distB="0" distL="114300" distR="114300" simplePos="0" relativeHeight="251663360" behindDoc="1" locked="0" layoutInCell="1" allowOverlap="1" wp14:anchorId="681059A4" wp14:editId="5C5B9453">
            <wp:simplePos x="0" y="0"/>
            <wp:positionH relativeFrom="column">
              <wp:posOffset>-609600</wp:posOffset>
            </wp:positionH>
            <wp:positionV relativeFrom="page">
              <wp:posOffset>8693150</wp:posOffset>
            </wp:positionV>
            <wp:extent cx="7956550" cy="14516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ety Talk_Template-0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56550" cy="1451610"/>
                    </a:xfrm>
                    <a:prstGeom prst="rect">
                      <a:avLst/>
                    </a:prstGeom>
                  </pic:spPr>
                </pic:pic>
              </a:graphicData>
            </a:graphic>
            <wp14:sizeRelH relativeFrom="page">
              <wp14:pctWidth>0</wp14:pctWidth>
            </wp14:sizeRelH>
            <wp14:sizeRelV relativeFrom="page">
              <wp14:pctHeight>0</wp14:pctHeight>
            </wp14:sizeRelV>
          </wp:anchor>
        </w:drawing>
      </w:r>
    </w:p>
    <w:p w14:paraId="4C834D85" w14:textId="77777777" w:rsidR="006525D9" w:rsidRDefault="006525D9" w:rsidP="00106DC1">
      <w:pPr>
        <w:ind w:left="180"/>
        <w:jc w:val="center"/>
        <w:rPr>
          <w:color w:val="00B0F0"/>
          <w:sz w:val="24"/>
          <w:szCs w:val="24"/>
        </w:rPr>
        <w:sectPr w:rsidR="006525D9" w:rsidSect="006525D9">
          <w:type w:val="continuous"/>
          <w:pgSz w:w="12240" w:h="15840"/>
          <w:pgMar w:top="1440" w:right="720" w:bottom="1440" w:left="720" w:header="720" w:footer="720" w:gutter="0"/>
          <w:cols w:space="720"/>
          <w:titlePg/>
          <w:docGrid w:linePitch="360"/>
        </w:sectPr>
      </w:pPr>
    </w:p>
    <w:p w14:paraId="33E84FC5" w14:textId="59B9EB43" w:rsidR="0097108D" w:rsidRPr="00E7042A" w:rsidRDefault="0097108D" w:rsidP="00106DC1">
      <w:pPr>
        <w:ind w:left="180"/>
        <w:jc w:val="center"/>
        <w:rPr>
          <w:color w:val="00B0F0"/>
          <w:sz w:val="24"/>
          <w:szCs w:val="24"/>
        </w:rPr>
      </w:pPr>
    </w:p>
    <w:sectPr w:rsidR="0097108D" w:rsidRPr="00E7042A" w:rsidSect="00E51C5D">
      <w:type w:val="continuous"/>
      <w:pgSz w:w="12240" w:h="15840"/>
      <w:pgMar w:top="1440" w:right="720" w:bottom="1440" w:left="72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81088" w14:textId="77777777" w:rsidR="0027099A" w:rsidRDefault="0027099A">
      <w:r>
        <w:separator/>
      </w:r>
    </w:p>
    <w:p w14:paraId="639F0B9E" w14:textId="77777777" w:rsidR="0027099A" w:rsidRDefault="0027099A"/>
  </w:endnote>
  <w:endnote w:type="continuationSeparator" w:id="0">
    <w:p w14:paraId="3F62F5CB" w14:textId="77777777" w:rsidR="0027099A" w:rsidRDefault="0027099A">
      <w:r>
        <w:continuationSeparator/>
      </w:r>
    </w:p>
    <w:p w14:paraId="527C3CD8" w14:textId="77777777" w:rsidR="0027099A" w:rsidRDefault="00270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343294"/>
      <w:docPartObj>
        <w:docPartGallery w:val="Page Numbers (Bottom of Page)"/>
        <w:docPartUnique/>
      </w:docPartObj>
    </w:sdtPr>
    <w:sdtEndPr>
      <w:rPr>
        <w:noProof/>
      </w:rPr>
    </w:sdtEndPr>
    <w:sdtContent>
      <w:p w14:paraId="6E9E2B76" w14:textId="77777777" w:rsidR="00C17632" w:rsidRDefault="009266E2">
        <w:pPr>
          <w:pStyle w:val="Footer"/>
        </w:pPr>
        <w:r>
          <w:fldChar w:fldCharType="begin"/>
        </w:r>
        <w:r>
          <w:instrText xml:space="preserve"> PAGE   \* MERGEFORMAT </w:instrText>
        </w:r>
        <w:r>
          <w:fldChar w:fldCharType="separate"/>
        </w:r>
        <w:r w:rsidR="006B1414">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CD4FF" w14:textId="77777777" w:rsidR="0027099A" w:rsidRDefault="0027099A">
      <w:r>
        <w:separator/>
      </w:r>
    </w:p>
    <w:p w14:paraId="6D93F022" w14:textId="77777777" w:rsidR="0027099A" w:rsidRDefault="0027099A"/>
  </w:footnote>
  <w:footnote w:type="continuationSeparator" w:id="0">
    <w:p w14:paraId="6FD615C3" w14:textId="77777777" w:rsidR="0027099A" w:rsidRDefault="0027099A">
      <w:r>
        <w:continuationSeparator/>
      </w:r>
    </w:p>
    <w:p w14:paraId="030DDF84" w14:textId="77777777" w:rsidR="0027099A" w:rsidRDefault="0027099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2A6B5D"/>
    <w:multiLevelType w:val="hybridMultilevel"/>
    <w:tmpl w:val="2A44D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C8A4267"/>
    <w:multiLevelType w:val="hybridMultilevel"/>
    <w:tmpl w:val="A2089E54"/>
    <w:lvl w:ilvl="0" w:tplc="10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C1"/>
    <w:rsid w:val="000139A8"/>
    <w:rsid w:val="000269C1"/>
    <w:rsid w:val="000A10AC"/>
    <w:rsid w:val="0010450C"/>
    <w:rsid w:val="00106DC1"/>
    <w:rsid w:val="00127D27"/>
    <w:rsid w:val="00154334"/>
    <w:rsid w:val="00166149"/>
    <w:rsid w:val="001A4C48"/>
    <w:rsid w:val="001C7279"/>
    <w:rsid w:val="0020327C"/>
    <w:rsid w:val="002446B0"/>
    <w:rsid w:val="00244B94"/>
    <w:rsid w:val="00256220"/>
    <w:rsid w:val="0027099A"/>
    <w:rsid w:val="002B34C7"/>
    <w:rsid w:val="002B6CE4"/>
    <w:rsid w:val="002E5FD7"/>
    <w:rsid w:val="00316694"/>
    <w:rsid w:val="00323FF7"/>
    <w:rsid w:val="00327A4B"/>
    <w:rsid w:val="00352CA2"/>
    <w:rsid w:val="003717AB"/>
    <w:rsid w:val="003D43DE"/>
    <w:rsid w:val="003E59FA"/>
    <w:rsid w:val="00416DF8"/>
    <w:rsid w:val="004257B0"/>
    <w:rsid w:val="00440904"/>
    <w:rsid w:val="00447D38"/>
    <w:rsid w:val="004662F0"/>
    <w:rsid w:val="00470BCD"/>
    <w:rsid w:val="004742B0"/>
    <w:rsid w:val="004F14B4"/>
    <w:rsid w:val="004F4FC9"/>
    <w:rsid w:val="005012F3"/>
    <w:rsid w:val="005646D3"/>
    <w:rsid w:val="005938F7"/>
    <w:rsid w:val="005B4C49"/>
    <w:rsid w:val="005F34C2"/>
    <w:rsid w:val="005F781E"/>
    <w:rsid w:val="00617CE0"/>
    <w:rsid w:val="00626060"/>
    <w:rsid w:val="006525D9"/>
    <w:rsid w:val="00670272"/>
    <w:rsid w:val="006746D5"/>
    <w:rsid w:val="00682FD0"/>
    <w:rsid w:val="006A24BC"/>
    <w:rsid w:val="006B1414"/>
    <w:rsid w:val="006B2C47"/>
    <w:rsid w:val="006C256E"/>
    <w:rsid w:val="006C5A05"/>
    <w:rsid w:val="006F32B4"/>
    <w:rsid w:val="00700BBC"/>
    <w:rsid w:val="007041E0"/>
    <w:rsid w:val="0071618E"/>
    <w:rsid w:val="00735804"/>
    <w:rsid w:val="007624C6"/>
    <w:rsid w:val="007E0B45"/>
    <w:rsid w:val="00801240"/>
    <w:rsid w:val="00834002"/>
    <w:rsid w:val="00836CB1"/>
    <w:rsid w:val="00862E4A"/>
    <w:rsid w:val="00873D6B"/>
    <w:rsid w:val="00877591"/>
    <w:rsid w:val="00880952"/>
    <w:rsid w:val="008B790B"/>
    <w:rsid w:val="009266E2"/>
    <w:rsid w:val="00926A48"/>
    <w:rsid w:val="00952A05"/>
    <w:rsid w:val="0097108D"/>
    <w:rsid w:val="009D54A0"/>
    <w:rsid w:val="00A13ACD"/>
    <w:rsid w:val="00A252C7"/>
    <w:rsid w:val="00A83852"/>
    <w:rsid w:val="00A85942"/>
    <w:rsid w:val="00AE0428"/>
    <w:rsid w:val="00B571C8"/>
    <w:rsid w:val="00B8426E"/>
    <w:rsid w:val="00B86270"/>
    <w:rsid w:val="00BE382A"/>
    <w:rsid w:val="00BF6D1E"/>
    <w:rsid w:val="00C17632"/>
    <w:rsid w:val="00C4568A"/>
    <w:rsid w:val="00C51086"/>
    <w:rsid w:val="00C75240"/>
    <w:rsid w:val="00C906FB"/>
    <w:rsid w:val="00D237C3"/>
    <w:rsid w:val="00D639A1"/>
    <w:rsid w:val="00DC597A"/>
    <w:rsid w:val="00E13410"/>
    <w:rsid w:val="00E32B2E"/>
    <w:rsid w:val="00E42705"/>
    <w:rsid w:val="00E51C5D"/>
    <w:rsid w:val="00E7042A"/>
    <w:rsid w:val="00E966F5"/>
    <w:rsid w:val="00EB2109"/>
    <w:rsid w:val="00EB3CC3"/>
    <w:rsid w:val="00EE1698"/>
    <w:rsid w:val="00F31B60"/>
    <w:rsid w:val="00F77482"/>
    <w:rsid w:val="00F819E7"/>
    <w:rsid w:val="00FB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23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A85942"/>
    <w:pPr>
      <w:spacing w:after="0" w:line="240" w:lineRule="auto"/>
      <w:ind w:left="720"/>
    </w:pPr>
    <w:rPr>
      <w:rFonts w:ascii="Calibri" w:hAnsi="Calibri" w:cs="Times New Roman"/>
      <w:color w:val="auto"/>
      <w:sz w:val="22"/>
      <w:szCs w:val="22"/>
      <w:lang w:val="en-CA" w:eastAsia="en-US"/>
    </w:rPr>
  </w:style>
  <w:style w:type="table" w:styleId="TableGrid">
    <w:name w:val="Table Grid"/>
    <w:basedOn w:val="TableNormal"/>
    <w:uiPriority w:val="39"/>
    <w:rsid w:val="006A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iPriority="11"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A85942"/>
    <w:pPr>
      <w:spacing w:after="0" w:line="240" w:lineRule="auto"/>
      <w:ind w:left="720"/>
    </w:pPr>
    <w:rPr>
      <w:rFonts w:ascii="Calibri" w:hAnsi="Calibri" w:cs="Times New Roman"/>
      <w:color w:val="auto"/>
      <w:sz w:val="22"/>
      <w:szCs w:val="22"/>
      <w:lang w:val="en-CA" w:eastAsia="en-US"/>
    </w:rPr>
  </w:style>
  <w:style w:type="table" w:styleId="TableGrid">
    <w:name w:val="Table Grid"/>
    <w:basedOn w:val="TableNormal"/>
    <w:uiPriority w:val="39"/>
    <w:rsid w:val="006A24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3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48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ealth.gov.on.ca/en/public/programs/publichealth/flu/finder.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EDA7E-4B48-4100-B1A1-F2988CCF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Wright, Carolyn (Principal)</cp:lastModifiedBy>
  <cp:revision>2</cp:revision>
  <cp:lastPrinted>2017-09-22T13:06:00Z</cp:lastPrinted>
  <dcterms:created xsi:type="dcterms:W3CDTF">2017-10-02T14:14:00Z</dcterms:created>
  <dcterms:modified xsi:type="dcterms:W3CDTF">2017-10-02T14:14:00Z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