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32"/>
                <w:szCs w:val="32"/>
              </w:rPr>
            </w:pPr>
            <w:r w:rsidDel="00000000" w:rsidR="00000000" w:rsidRPr="00000000">
              <w:rPr>
                <w:sz w:val="22"/>
                <w:szCs w:val="22"/>
                <w:rtl w:val="0"/>
              </w:rPr>
              <w:t xml:space="preserve">Title of Course:       </w:t>
            </w:r>
            <w:r w:rsidDel="00000000" w:rsidR="00000000" w:rsidRPr="00000000">
              <w:rPr>
                <w:rFonts w:ascii="Arial" w:cs="Arial" w:eastAsia="Arial" w:hAnsi="Arial"/>
                <w:b w:val="1"/>
                <w:sz w:val="32"/>
                <w:szCs w:val="32"/>
                <w:rtl w:val="0"/>
              </w:rPr>
              <w:t xml:space="preserve">ENG2D1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pPr>
            <w:r w:rsidDel="00000000" w:rsidR="00000000" w:rsidRPr="00000000">
              <w:rPr>
                <w:rFonts w:ascii="Arial" w:cs="Arial" w:eastAsia="Arial" w:hAnsi="Arial"/>
                <w:sz w:val="16"/>
                <w:szCs w:val="16"/>
                <w:rtl w:val="0"/>
              </w:rPr>
              <w:t xml:space="preserve">This course extends the range of analytic reading, writing, oral communication, and thinking skills that students need for success in secondary school academic programs.  Students will study and interpret challenging texts, including novels, poems, plays, opinion pieces, and electronic sources, and will analyse and create effective media works.  An important focus will be the thoughtful use of spoken and written language, revision and editing. As well, emphasis will be put on research skills as part of a school-wide initiative. </w:t>
            </w:r>
            <w:r w:rsidDel="00000000" w:rsidR="00000000" w:rsidRPr="00000000">
              <w:rPr>
                <w:rFonts w:ascii="Arial" w:cs="Arial" w:eastAsia="Arial" w:hAnsi="Arial"/>
                <w:sz w:val="18"/>
                <w:szCs w:val="18"/>
                <w:rtl w:val="0"/>
              </w:rPr>
              <w:t xml:space="preserve"> Grade-ten English’s overarching theme is “coming of age.”</w:t>
            </w: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In English classes the categories are embedded within the four core strands below. The final grade is calculated using the weighted percentages below.</w:t>
            </w: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w:t>
            </w:r>
            <w:r w:rsidDel="00000000" w:rsidR="00000000" w:rsidRPr="00000000">
              <w:rPr>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D">
      <w:pPr>
        <w:rPr>
          <w:sz w:val="6"/>
          <w:szCs w:val="6"/>
        </w:rPr>
      </w:pPr>
      <w:r w:rsidDel="00000000" w:rsidR="00000000" w:rsidRPr="00000000">
        <w:rPr>
          <w:sz w:val="6"/>
          <w:szCs w:val="6"/>
          <w:rtl w:val="0"/>
        </w:rPr>
        <w:t xml:space="preserve">\\\\</w:t>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B">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Unit 1: </w:t>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Novel Studies</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6">
            <w:pPr>
              <w:pStyle w:val="Heading1"/>
              <w:keepNext w:val="0"/>
              <w:keepLines w:val="0"/>
              <w:rPr>
                <w:rFonts w:ascii="Arial" w:cs="Arial" w:eastAsia="Arial" w:hAnsi="Arial"/>
                <w:b w:val="0"/>
                <w:sz w:val="30"/>
                <w:szCs w:val="30"/>
                <w:u w:val="single"/>
              </w:rPr>
            </w:pPr>
            <w:bookmarkStart w:colFirst="0" w:colLast="0" w:name="_nboyph5qpycr" w:id="0"/>
            <w:bookmarkEnd w:id="0"/>
            <w:r w:rsidDel="00000000" w:rsidR="00000000" w:rsidRPr="00000000">
              <w:rPr>
                <w:rFonts w:ascii="Arial" w:cs="Arial" w:eastAsia="Arial" w:hAnsi="Arial"/>
                <w:b w:val="0"/>
                <w:sz w:val="24"/>
                <w:szCs w:val="24"/>
                <w:u w:val="single"/>
                <w:rtl w:val="0"/>
              </w:rPr>
              <w:t xml:space="preserve">Three-Day Road</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0"/>
                <w:sz w:val="24"/>
                <w:szCs w:val="24"/>
                <w:u w:val="single"/>
                <w:rtl w:val="0"/>
              </w:rPr>
              <w:t xml:space="preserve">The Catcher in the Rye</w:t>
            </w:r>
            <w:r w:rsidDel="00000000" w:rsidR="00000000" w:rsidRPr="00000000">
              <w:rPr>
                <w:rFonts w:ascii="Arial" w:cs="Arial" w:eastAsia="Arial" w:hAnsi="Arial"/>
                <w:b w:val="0"/>
                <w:sz w:val="24"/>
                <w:szCs w:val="24"/>
                <w:rtl w:val="0"/>
              </w:rPr>
              <w:t xml:space="preserve">, or  Supplementary books: </w:t>
            </w:r>
            <w:r w:rsidDel="00000000" w:rsidR="00000000" w:rsidRPr="00000000">
              <w:rPr>
                <w:rFonts w:ascii="Arial" w:cs="Arial" w:eastAsia="Arial" w:hAnsi="Arial"/>
                <w:b w:val="0"/>
                <w:sz w:val="24"/>
                <w:szCs w:val="24"/>
                <w:u w:val="single"/>
                <w:rtl w:val="0"/>
              </w:rPr>
              <w:t xml:space="preserve">Balzac and the Little Chinese Seamstress</w:t>
            </w:r>
            <w:r w:rsidDel="00000000" w:rsidR="00000000" w:rsidRPr="00000000">
              <w:rPr>
                <w:rFonts w:ascii="Arial" w:cs="Arial" w:eastAsia="Arial" w:hAnsi="Arial"/>
                <w:b w:val="0"/>
                <w:sz w:val="24"/>
                <w:szCs w:val="24"/>
                <w:rtl w:val="0"/>
              </w:rPr>
              <w:t xml:space="preserve">, and </w:t>
            </w:r>
            <w:r w:rsidDel="00000000" w:rsidR="00000000" w:rsidRPr="00000000">
              <w:rPr>
                <w:rFonts w:ascii="Arial" w:cs="Arial" w:eastAsia="Arial" w:hAnsi="Arial"/>
                <w:b w:val="0"/>
                <w:sz w:val="24"/>
                <w:szCs w:val="24"/>
                <w:u w:val="single"/>
                <w:rtl w:val="0"/>
              </w:rPr>
              <w:t xml:space="preserve">Wenjack.</w:t>
            </w:r>
            <w:r w:rsidDel="00000000" w:rsidR="00000000" w:rsidRPr="00000000">
              <w:rPr>
                <w:rtl w:val="0"/>
              </w:rPr>
            </w:r>
          </w:p>
        </w:tc>
        <w:tc>
          <w:tcPr>
            <w:vMerge w:val="restart"/>
          </w:tcPr>
          <w:p w:rsidR="00000000" w:rsidDel="00000000" w:rsidP="00000000" w:rsidRDefault="00000000" w:rsidRPr="00000000" w14:paraId="00000067">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Each term will be based on:</w:t>
            </w:r>
          </w:p>
          <w:p w:rsidR="00000000" w:rsidDel="00000000" w:rsidP="00000000" w:rsidRDefault="00000000" w:rsidRPr="00000000" w14:paraId="00000068">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sz w:val="22"/>
                <w:szCs w:val="22"/>
                <w:rtl w:val="0"/>
              </w:rPr>
              <w:t xml:space="preserve">  Personal response journals</w:t>
            </w:r>
          </w:p>
          <w:p w:rsidR="00000000" w:rsidDel="00000000" w:rsidP="00000000" w:rsidRDefault="00000000" w:rsidRPr="00000000" w14:paraId="00000069">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Demonstration of critical-thinking skills</w:t>
            </w:r>
          </w:p>
          <w:p w:rsidR="00000000" w:rsidDel="00000000" w:rsidP="00000000" w:rsidRDefault="00000000" w:rsidRPr="00000000" w14:paraId="0000006A">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Responses to literature and media</w:t>
            </w:r>
          </w:p>
          <w:p w:rsidR="00000000" w:rsidDel="00000000" w:rsidP="00000000" w:rsidRDefault="00000000" w:rsidRPr="00000000" w14:paraId="0000006B">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Analysis of literary and dramatic techniques</w:t>
            </w:r>
          </w:p>
          <w:p w:rsidR="00000000" w:rsidDel="00000000" w:rsidP="00000000" w:rsidRDefault="00000000" w:rsidRPr="00000000" w14:paraId="0000006C">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Creative, persuasive and informational writing, for different audiences and purposes, in a variety of forms</w:t>
            </w:r>
          </w:p>
          <w:p w:rsidR="00000000" w:rsidDel="00000000" w:rsidP="00000000" w:rsidRDefault="00000000" w:rsidRPr="00000000" w14:paraId="0000006D">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Revising writing, with a focus on ideas, clarity, accuracy and coherence</w:t>
            </w:r>
          </w:p>
          <w:p w:rsidR="00000000" w:rsidDel="00000000" w:rsidP="00000000" w:rsidRDefault="00000000" w:rsidRPr="00000000" w14:paraId="0000006E">
            <w:pPr>
              <w:spacing w:after="240" w:befor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Editing to produce final drafts, using the writing process</w:t>
            </w:r>
          </w:p>
          <w:p w:rsidR="00000000" w:rsidDel="00000000" w:rsidP="00000000" w:rsidRDefault="00000000" w:rsidRPr="00000000" w14:paraId="0000006F">
            <w:pPr>
              <w:numPr>
                <w:ilvl w:val="0"/>
                <w:numId w:val="1"/>
              </w:numPr>
              <w:spacing w:after="24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Interviews,Round-table and class discussions</w:t>
            </w:r>
          </w:p>
          <w:p w:rsidR="00000000" w:rsidDel="00000000" w:rsidP="00000000" w:rsidRDefault="00000000" w:rsidRPr="00000000" w14:paraId="00000070">
            <w:pPr>
              <w:spacing w:after="240" w:befor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numPr>
                <w:ilvl w:val="0"/>
                <w:numId w:val="2"/>
              </w:numPr>
              <w:spacing w:after="24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Media products such as: podcasts, blogs, vlogs,news broadcast, verbal-visual essay</w:t>
            </w: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30-40 classes</w:t>
            </w:r>
          </w:p>
        </w:tc>
      </w:tr>
      <w:tr>
        <w:trPr>
          <w:cantSplit w:val="0"/>
          <w:trHeight w:val="233" w:hRule="atLeast"/>
          <w:tblHeader w:val="0"/>
        </w:trPr>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Unit 2: </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Shakespeare</w:t>
            </w:r>
          </w:p>
        </w:tc>
        <w:tc>
          <w:tcPr/>
          <w:p w:rsidR="00000000" w:rsidDel="00000000" w:rsidP="00000000" w:rsidRDefault="00000000" w:rsidRPr="00000000" w14:paraId="00000075">
            <w:pPr>
              <w:spacing w:after="240" w:before="240" w:lineRule="auto"/>
              <w:rPr>
                <w:rFonts w:ascii="Arial" w:cs="Arial" w:eastAsia="Arial" w:hAnsi="Arial"/>
                <w:sz w:val="22"/>
                <w:szCs w:val="22"/>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2"/>
                <w:szCs w:val="22"/>
                <w:rtl w:val="0"/>
              </w:rPr>
              <w:t xml:space="preserve">Choice of </w:t>
            </w:r>
            <w:r w:rsidDel="00000000" w:rsidR="00000000" w:rsidRPr="00000000">
              <w:rPr>
                <w:rFonts w:ascii="Arial" w:cs="Arial" w:eastAsia="Arial" w:hAnsi="Arial"/>
                <w:sz w:val="22"/>
                <w:szCs w:val="22"/>
                <w:u w:val="single"/>
                <w:rtl w:val="0"/>
              </w:rPr>
              <w:t xml:space="preserve">Romeo and Juliet</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sz w:val="22"/>
                <w:szCs w:val="22"/>
                <w:u w:val="single"/>
                <w:rtl w:val="0"/>
              </w:rPr>
              <w:t xml:space="preserve">Julius Ceasar </w:t>
            </w:r>
          </w:p>
        </w:tc>
        <w:tc>
          <w:tcPr>
            <w:vMerge w:val="continue"/>
          </w:tcPr>
          <w:p w:rsidR="00000000" w:rsidDel="00000000" w:rsidP="00000000" w:rsidRDefault="00000000" w:rsidRPr="00000000" w14:paraId="00000076">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sz w:val="22"/>
                <w:szCs w:val="22"/>
                <w:rtl w:val="0"/>
              </w:rPr>
              <w:t xml:space="preserve">30-40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Unit 3: </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Culturally</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responsive Non-fiction Book Club</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choice of:</w:t>
            </w:r>
          </w:p>
          <w:p w:rsidR="00000000" w:rsidDel="00000000" w:rsidP="00000000" w:rsidRDefault="00000000" w:rsidRPr="00000000" w14:paraId="0000007E">
            <w:pPr>
              <w:spacing w:after="240" w:before="240" w:lineRule="auto"/>
              <w:rPr>
                <w:rFonts w:ascii="Verdana" w:cs="Verdana" w:eastAsia="Verdana" w:hAnsi="Verdana"/>
                <w:sz w:val="16"/>
                <w:szCs w:val="16"/>
              </w:rPr>
            </w:pPr>
            <w:r w:rsidDel="00000000" w:rsidR="00000000" w:rsidRPr="00000000">
              <w:rPr>
                <w:rFonts w:ascii="Arial" w:cs="Arial" w:eastAsia="Arial" w:hAnsi="Arial"/>
                <w:u w:val="single"/>
                <w:rtl w:val="0"/>
              </w:rPr>
              <w:t xml:space="preserve">Educated</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Becoming</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Shoe Dog</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The Monk of Mokha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The Inconvenient Indian</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The Sacred Balance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u w:val="single"/>
                <w:rtl w:val="0"/>
              </w:rPr>
              <w:t xml:space="preserve">Night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u w:val="single"/>
              </w:rPr>
            </w:pPr>
            <w:r w:rsidDel="00000000" w:rsidR="00000000" w:rsidRPr="00000000">
              <w:rPr>
                <w:rtl w:val="0"/>
              </w:rPr>
            </w:r>
          </w:p>
        </w:tc>
        <w:tc>
          <w:tcPr>
            <w:vMerge w:val="continue"/>
          </w:tcPr>
          <w:p w:rsidR="00000000" w:rsidDel="00000000" w:rsidP="00000000" w:rsidRDefault="00000000" w:rsidRPr="00000000" w14:paraId="00000081">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Ongoing</w:t>
            </w:r>
          </w:p>
        </w:tc>
      </w:tr>
      <w:tr>
        <w:trPr>
          <w:cantSplit w:val="0"/>
          <w:trHeight w:val="1095" w:hRule="atLeast"/>
          <w:tblHeader w:val="0"/>
        </w:trPr>
        <w:tc>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Unit 4: </w:t>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Short Stories and poetry:</w:t>
            </w:r>
          </w:p>
          <w:p w:rsidR="00000000" w:rsidDel="00000000" w:rsidP="00000000" w:rsidRDefault="00000000" w:rsidRPr="00000000" w14:paraId="00000085">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Sightlines Ten</w:t>
            </w:r>
            <w:r w:rsidDel="00000000" w:rsidR="00000000" w:rsidRPr="00000000">
              <w:rPr>
                <w:rFonts w:ascii="Arial" w:cs="Arial" w:eastAsia="Arial" w:hAnsi="Arial"/>
                <w:sz w:val="22"/>
                <w:szCs w:val="22"/>
                <w:rtl w:val="0"/>
              </w:rPr>
              <w:t xml:space="preserve">, </w:t>
            </w:r>
            <w:r w:rsidDel="00000000" w:rsidR="00000000" w:rsidRPr="00000000">
              <w:rPr>
                <w:sz w:val="22"/>
                <w:szCs w:val="22"/>
                <w:u w:val="single"/>
                <w:rtl w:val="0"/>
              </w:rPr>
              <w:t xml:space="preserve">Resourselines 9/10</w:t>
            </w:r>
            <w:r w:rsidDel="00000000" w:rsidR="00000000" w:rsidRPr="00000000">
              <w:rPr>
                <w:rtl w:val="0"/>
              </w:rPr>
            </w:r>
          </w:p>
        </w:tc>
        <w:tc>
          <w:tcPr>
            <w:vMerge w:val="continue"/>
          </w:tcPr>
          <w:p w:rsidR="00000000" w:rsidDel="00000000" w:rsidP="00000000" w:rsidRDefault="00000000" w:rsidRPr="00000000" w14:paraId="0000008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Ongoing Unist: </w:t>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Media Studies and Non-Fiction</w:t>
            </w:r>
          </w:p>
        </w:tc>
        <w:tc>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Key concepts of Media,</w:t>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Media-Terms Glossary, topical newspaper articles, Youtube, film and documentaries</w:t>
            </w:r>
          </w:p>
        </w:tc>
        <w:tc>
          <w:tcPr>
            <w:vMerge w:val="continue"/>
          </w:tcPr>
          <w:p w:rsidR="00000000" w:rsidDel="00000000" w:rsidP="00000000" w:rsidRDefault="00000000" w:rsidRPr="00000000" w14:paraId="0000008E">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F">
            <w:pPr>
              <w:rPr>
                <w:b w:val="1"/>
                <w:sz w:val="22"/>
                <w:szCs w:val="22"/>
              </w:rPr>
            </w:pPr>
            <w:r w:rsidDel="00000000" w:rsidR="00000000" w:rsidRPr="00000000">
              <w:rPr>
                <w:sz w:val="22"/>
                <w:szCs w:val="22"/>
                <w:rtl w:val="0"/>
              </w:rPr>
              <w:t xml:space="preserve">Ongoing</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Culminating Task(s)</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Podcasts, Presentations, Debates, Structured Interviews, and Vlogs.</w:t>
            </w:r>
          </w:p>
        </w:tc>
        <w:tc>
          <w:tcPr/>
          <w:p w:rsidR="00000000" w:rsidDel="00000000" w:rsidP="00000000" w:rsidRDefault="00000000" w:rsidRPr="00000000" w14:paraId="00000094">
            <w:pPr>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Summative project 15% (Based on Oral Literacy and Media Studies)</w:t>
            </w:r>
            <w:r w:rsidDel="00000000" w:rsidR="00000000" w:rsidRPr="00000000">
              <w:rPr>
                <w:rtl w:val="0"/>
              </w:rPr>
            </w:r>
          </w:p>
        </w:tc>
        <w:tc>
          <w:tcPr/>
          <w:p w:rsidR="00000000" w:rsidDel="00000000" w:rsidP="00000000" w:rsidRDefault="00000000" w:rsidRPr="00000000" w14:paraId="00000095">
            <w:pPr>
              <w:rPr>
                <w:b w:val="1"/>
                <w:sz w:val="22"/>
                <w:szCs w:val="22"/>
              </w:rPr>
            </w:pPr>
            <w:r w:rsidDel="00000000" w:rsidR="00000000" w:rsidRPr="00000000">
              <w:rPr>
                <w:rtl w:val="0"/>
              </w:rPr>
            </w:r>
          </w:p>
        </w:tc>
      </w:tr>
    </w:tbl>
    <w:p w:rsidR="00000000" w:rsidDel="00000000" w:rsidP="00000000" w:rsidRDefault="00000000" w:rsidRPr="00000000" w14:paraId="00000096">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