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AMK2O1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Title of Course:  Elective Keyboard - Grade 10 </w:t>
            </w:r>
          </w:p>
        </w:tc>
        <w:tc>
          <w:tcPr>
            <w:gridSpan w:val="2"/>
          </w:tcPr>
          <w:p w:rsidR="00000000" w:rsidDel="00000000" w:rsidP="00000000" w:rsidRDefault="00000000" w:rsidRPr="00000000" w14:paraId="0000000C">
            <w:pPr>
              <w:jc w:val="right"/>
              <w:rPr>
                <w:sz w:val="22"/>
                <w:szCs w:val="22"/>
              </w:rPr>
            </w:pPr>
            <w:r w:rsidDel="00000000" w:rsidR="00000000" w:rsidRPr="00000000">
              <w:rPr>
                <w:sz w:val="22"/>
                <w:szCs w:val="22"/>
                <w:rtl w:val="0"/>
              </w:rPr>
              <w:t xml:space="preserve">416-395-3210</w:t>
            </w:r>
          </w:p>
        </w:tc>
      </w:tr>
      <w:tr>
        <w:trPr>
          <w:cantSplit w:val="0"/>
          <w:trHeight w:val="514"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Music</w:t>
            </w:r>
          </w:p>
        </w:tc>
        <w:tc>
          <w:tcPr>
            <w:gridSpan w:val="2"/>
          </w:tcPr>
          <w:p w:rsidR="00000000" w:rsidDel="00000000" w:rsidP="00000000" w:rsidRDefault="00000000" w:rsidRPr="00000000" w14:paraId="00000011">
            <w:pPr>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rPr>
                <w:sz w:val="20"/>
                <w:szCs w:val="20"/>
              </w:rPr>
            </w:pPr>
            <w:r w:rsidDel="00000000" w:rsidR="00000000" w:rsidRPr="00000000">
              <w:rPr>
                <w:rFonts w:ascii="Calibri" w:cs="Calibri" w:eastAsia="Calibri" w:hAnsi="Calibri"/>
                <w:sz w:val="20"/>
                <w:szCs w:val="20"/>
                <w:rtl w:val="0"/>
              </w:rPr>
              <w:t xml:space="preserve">In this course, </w:t>
            </w:r>
            <w:r w:rsidDel="00000000" w:rsidR="00000000" w:rsidRPr="00000000">
              <w:rPr>
                <w:sz w:val="20"/>
                <w:szCs w:val="20"/>
                <w:rtl w:val="0"/>
              </w:rPr>
              <w:t xml:space="preserve">music students</w:t>
            </w:r>
            <w:r w:rsidDel="00000000" w:rsidR="00000000" w:rsidRPr="00000000">
              <w:rPr>
                <w:rFonts w:ascii="Calibri" w:cs="Calibri" w:eastAsia="Calibri" w:hAnsi="Calibri"/>
                <w:sz w:val="20"/>
                <w:szCs w:val="20"/>
                <w:rtl w:val="0"/>
              </w:rPr>
              <w:t xml:space="preserve"> will…</w:t>
            </w:r>
            <w:r w:rsidDel="00000000" w:rsidR="00000000" w:rsidRPr="00000000">
              <w:rPr>
                <w:rtl w:val="0"/>
              </w:rPr>
            </w:r>
          </w:p>
          <w:p w:rsidR="00000000" w:rsidDel="00000000" w:rsidP="00000000" w:rsidRDefault="00000000" w:rsidRPr="00000000" w14:paraId="00000016">
            <w:pPr>
              <w:widowControl w:val="0"/>
              <w:spacing w:before="33.53271484375" w:line="266.55959129333496" w:lineRule="auto"/>
              <w:ind w:left="0" w:right="1389.2364501953125" w:firstLine="0"/>
              <w:rPr>
                <w:sz w:val="20"/>
                <w:szCs w:val="20"/>
              </w:rPr>
            </w:pPr>
            <w:r w:rsidDel="00000000" w:rsidR="00000000" w:rsidRPr="00000000">
              <w:rPr>
                <w:rtl w:val="0"/>
              </w:rPr>
            </w:r>
          </w:p>
          <w:p w:rsidR="00000000" w:rsidDel="00000000" w:rsidP="00000000" w:rsidRDefault="00000000" w:rsidRPr="00000000" w14:paraId="00000017">
            <w:pPr>
              <w:spacing w:line="276" w:lineRule="auto"/>
              <w:rPr>
                <w:rFonts w:ascii="Cambria" w:cs="Cambria" w:eastAsia="Cambria" w:hAnsi="Cambria"/>
                <w:sz w:val="20.15999984741211"/>
                <w:szCs w:val="20.15999984741211"/>
              </w:rPr>
            </w:pPr>
            <w:r w:rsidDel="00000000" w:rsidR="00000000" w:rsidRPr="00000000">
              <w:rPr>
                <w:sz w:val="20"/>
                <w:szCs w:val="20"/>
                <w:rtl w:val="0"/>
              </w:rPr>
              <w:t xml:space="preserve">learn</w:t>
            </w:r>
            <w:r w:rsidDel="00000000" w:rsidR="00000000" w:rsidRPr="00000000">
              <w:rPr>
                <w:sz w:val="20"/>
                <w:szCs w:val="20"/>
                <w:rtl w:val="0"/>
              </w:rPr>
              <w:t xml:space="preserve"> to develop their musical skills on a keyboard instrument. The program will focus on individual and ensemble performance and provide a grounding knowledge of music theory, history, ear training, analysis and composition.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395"/>
        <w:gridCol w:w="780"/>
        <w:gridCol w:w="3289"/>
        <w:tblGridChange w:id="0">
          <w:tblGrid>
            <w:gridCol w:w="1296"/>
            <w:gridCol w:w="819"/>
            <w:gridCol w:w="3211"/>
            <w:gridCol w:w="1395"/>
            <w:gridCol w:w="780"/>
            <w:gridCol w:w="3289"/>
          </w:tblGrid>
        </w:tblGridChange>
      </w:tblGrid>
      <w:tr>
        <w:trPr>
          <w:cantSplit w:val="0"/>
          <w:tblHeader w:val="0"/>
        </w:trPr>
        <w:tc>
          <w:tcPr>
            <w:gridSpan w:val="6"/>
          </w:tcPr>
          <w:p w:rsidR="00000000" w:rsidDel="00000000" w:rsidP="00000000" w:rsidRDefault="00000000" w:rsidRPr="00000000" w14:paraId="0000001A">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B">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21">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2">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5">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6">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rHeight w:val="220" w:hRule="atLeast"/>
          <w:tblHeader w:val="0"/>
        </w:trPr>
        <w:tc>
          <w:tcPr>
            <w:vMerge w:val="restart"/>
          </w:tcPr>
          <w:p w:rsidR="00000000" w:rsidDel="00000000" w:rsidP="00000000" w:rsidRDefault="00000000" w:rsidRPr="00000000" w14:paraId="00000028">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9">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2A">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B">
            <w:pPr>
              <w:spacing w:before="240" w:lineRule="auto"/>
              <w:rPr/>
            </w:pPr>
            <w:r w:rsidDel="00000000" w:rsidR="00000000" w:rsidRPr="00000000">
              <w:rPr>
                <w:sz w:val="56"/>
                <w:szCs w:val="56"/>
                <w:rtl w:val="0"/>
              </w:rPr>
              <w:t xml:space="preserve">30%</w:t>
            </w:r>
            <w:r w:rsidDel="00000000" w:rsidR="00000000" w:rsidRPr="00000000">
              <w:rPr>
                <w:rtl w:val="0"/>
              </w:rPr>
            </w:r>
          </w:p>
        </w:tc>
        <w:tc>
          <w:tcPr>
            <w:gridSpan w:val="2"/>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Summative Project</w:t>
            </w:r>
          </w:p>
        </w:tc>
      </w:tr>
      <w:tr>
        <w:trPr>
          <w:cantSplit w:val="0"/>
          <w:trHeight w:val="220"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0">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6">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8">
            <w:pPr>
              <w:spacing w:after="0" w:before="0" w:line="240" w:lineRule="auto"/>
              <w:ind w:left="0" w:firstLine="0"/>
              <w:jc w:val="center"/>
              <w:rPr>
                <w:sz w:val="22"/>
                <w:szCs w:val="22"/>
              </w:rPr>
            </w:pPr>
            <w:r w:rsidDel="00000000" w:rsidR="00000000" w:rsidRPr="00000000">
              <w:rPr>
                <w:rtl w:val="0"/>
              </w:rPr>
            </w:r>
          </w:p>
        </w:tc>
      </w:tr>
      <w:tr>
        <w:trPr>
          <w:cantSplit w:val="0"/>
          <w:trHeight w:val="220" w:hRule="atLeast"/>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25%</w:t>
            </w:r>
          </w:p>
        </w:tc>
        <w:tc>
          <w:tcPr/>
          <w:p w:rsidR="00000000" w:rsidDel="00000000" w:rsidP="00000000" w:rsidRDefault="00000000" w:rsidRPr="00000000" w14:paraId="0000003C">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0">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1">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2">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3">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4">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6">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It is recommended that students have a separate binder for this course where they can keep handouts and notes.  A pencil, eraser, and regular supply of manuscript paper will support success.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sz w:val="6"/>
          <w:szCs w:val="6"/>
        </w:rPr>
      </w:pPr>
      <w:r w:rsidDel="00000000" w:rsidR="00000000" w:rsidRPr="00000000">
        <w:rPr>
          <w:rtl w:val="0"/>
        </w:rPr>
      </w:r>
    </w:p>
    <w:p w:rsidR="00000000" w:rsidDel="00000000" w:rsidP="00000000" w:rsidRDefault="00000000" w:rsidRPr="00000000" w14:paraId="00000049">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A">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C">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F">
      <w:pPr>
        <w:rPr>
          <w:sz w:val="6"/>
          <w:szCs w:val="6"/>
        </w:rPr>
      </w:pPr>
      <w:r w:rsidDel="00000000" w:rsidR="00000000" w:rsidRPr="00000000">
        <w:rPr>
          <w:sz w:val="6"/>
          <w:szCs w:val="6"/>
          <w:rtl w:val="0"/>
        </w:rPr>
        <w:t xml:space="preserve">\\\\</w:t>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C">
      <w:pPr>
        <w:rPr>
          <w:sz w:val="6"/>
          <w:szCs w:val="6"/>
        </w:rPr>
      </w:pPr>
      <w:r w:rsidDel="00000000" w:rsidR="00000000" w:rsidRPr="00000000">
        <w:rPr>
          <w:rtl w:val="0"/>
        </w:rPr>
      </w:r>
    </w:p>
    <w:tbl>
      <w:tblPr>
        <w:tblStyle w:val="Table7"/>
        <w:tblW w:w="11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0"/>
        <w:gridCol w:w="3780"/>
        <w:gridCol w:w="3930"/>
        <w:gridCol w:w="1350"/>
        <w:tblGridChange w:id="0">
          <w:tblGrid>
            <w:gridCol w:w="1950"/>
            <w:gridCol w:w="3780"/>
            <w:gridCol w:w="3930"/>
            <w:gridCol w:w="1350"/>
          </w:tblGrid>
        </w:tblGridChange>
      </w:tblGrid>
      <w:tr>
        <w:trPr>
          <w:cantSplit w:val="0"/>
          <w:trHeight w:val="291" w:hRule="atLeast"/>
          <w:tblHeader w:val="0"/>
        </w:trPr>
        <w:tc>
          <w:tcPr>
            <w:gridSpan w:val="4"/>
          </w:tcPr>
          <w:p w:rsidR="00000000" w:rsidDel="00000000" w:rsidP="00000000" w:rsidRDefault="00000000" w:rsidRPr="00000000" w14:paraId="0000005D">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Big Ideas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4">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5">
            <w:pPr>
              <w:rPr>
                <w:sz w:val="22"/>
                <w:szCs w:val="22"/>
              </w:rPr>
            </w:pPr>
            <w:r w:rsidDel="00000000" w:rsidR="00000000" w:rsidRPr="00000000">
              <w:rPr>
                <w:sz w:val="22"/>
                <w:szCs w:val="22"/>
                <w:rtl w:val="0"/>
              </w:rPr>
              <w:t xml:space="preserve">Unit 1: </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tc>
        <w:tc>
          <w:tcPr/>
          <w:p w:rsidR="00000000" w:rsidDel="00000000" w:rsidP="00000000" w:rsidRDefault="00000000" w:rsidRPr="00000000" w14:paraId="00000068">
            <w:pPr>
              <w:rPr>
                <w:b w:val="1"/>
                <w:sz w:val="22"/>
                <w:szCs w:val="22"/>
              </w:rPr>
            </w:pPr>
            <w:r w:rsidDel="00000000" w:rsidR="00000000" w:rsidRPr="00000000">
              <w:rPr>
                <w:b w:val="1"/>
                <w:sz w:val="22"/>
                <w:szCs w:val="22"/>
                <w:rtl w:val="0"/>
              </w:rPr>
              <w:t xml:space="preserve">Performance Technique (30% category)</w:t>
            </w:r>
          </w:p>
        </w:tc>
        <w:tc>
          <w:tcPr/>
          <w:p w:rsidR="00000000" w:rsidDel="00000000" w:rsidP="00000000" w:rsidRDefault="00000000" w:rsidRPr="00000000" w14:paraId="00000069">
            <w:pPr>
              <w:rPr>
                <w:b w:val="1"/>
                <w:sz w:val="22"/>
                <w:szCs w:val="22"/>
              </w:rPr>
            </w:pPr>
            <w:r w:rsidDel="00000000" w:rsidR="00000000" w:rsidRPr="00000000">
              <w:rPr>
                <w:b w:val="1"/>
                <w:sz w:val="22"/>
                <w:szCs w:val="22"/>
                <w:rtl w:val="0"/>
              </w:rPr>
              <w:t xml:space="preserve">•  Playing tests &amp; quizzes</w:t>
            </w:r>
          </w:p>
          <w:p w:rsidR="00000000" w:rsidDel="00000000" w:rsidP="00000000" w:rsidRDefault="00000000" w:rsidRPr="00000000" w14:paraId="0000006A">
            <w:pPr>
              <w:rPr>
                <w:b w:val="1"/>
                <w:sz w:val="22"/>
                <w:szCs w:val="22"/>
              </w:rPr>
            </w:pPr>
            <w:r w:rsidDel="00000000" w:rsidR="00000000" w:rsidRPr="00000000">
              <w:rPr>
                <w:b w:val="1"/>
                <w:sz w:val="22"/>
                <w:szCs w:val="22"/>
                <w:rtl w:val="0"/>
              </w:rPr>
              <w:t xml:space="preserve">• Solo performances</w:t>
            </w:r>
          </w:p>
          <w:p w:rsidR="00000000" w:rsidDel="00000000" w:rsidP="00000000" w:rsidRDefault="00000000" w:rsidRPr="00000000" w14:paraId="0000006B">
            <w:pPr>
              <w:rPr>
                <w:b w:val="1"/>
                <w:sz w:val="22"/>
                <w:szCs w:val="22"/>
              </w:rPr>
            </w:pPr>
            <w:r w:rsidDel="00000000" w:rsidR="00000000" w:rsidRPr="00000000">
              <w:rPr>
                <w:b w:val="1"/>
                <w:sz w:val="22"/>
                <w:szCs w:val="22"/>
                <w:rtl w:val="0"/>
              </w:rPr>
              <w:t xml:space="preserve">• Ensemble performances</w:t>
            </w:r>
          </w:p>
        </w:tc>
        <w:tc>
          <w:tcPr/>
          <w:p w:rsidR="00000000" w:rsidDel="00000000" w:rsidP="00000000" w:rsidRDefault="00000000" w:rsidRPr="00000000" w14:paraId="0000006C">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6D">
            <w:pPr>
              <w:rPr>
                <w:sz w:val="22"/>
                <w:szCs w:val="22"/>
              </w:rPr>
            </w:pPr>
            <w:r w:rsidDel="00000000" w:rsidR="00000000" w:rsidRPr="00000000">
              <w:rPr>
                <w:sz w:val="22"/>
                <w:szCs w:val="22"/>
                <w:rtl w:val="0"/>
              </w:rPr>
              <w:t xml:space="preserve">Unit 2: </w:t>
            </w:r>
          </w:p>
          <w:p w:rsidR="00000000" w:rsidDel="00000000" w:rsidP="00000000" w:rsidRDefault="00000000" w:rsidRPr="00000000" w14:paraId="0000006E">
            <w:pPr>
              <w:rPr>
                <w:sz w:val="22"/>
                <w:szCs w:val="22"/>
              </w:rPr>
            </w:pPr>
            <w:r w:rsidDel="00000000" w:rsidR="00000000" w:rsidRPr="00000000">
              <w:rPr>
                <w:rtl w:val="0"/>
              </w:rPr>
            </w:r>
          </w:p>
          <w:p w:rsidR="00000000" w:rsidDel="00000000" w:rsidP="00000000" w:rsidRDefault="00000000" w:rsidRPr="00000000" w14:paraId="0000006F">
            <w:pPr>
              <w:rPr>
                <w:b w:val="1"/>
                <w:sz w:val="22"/>
                <w:szCs w:val="22"/>
              </w:rPr>
            </w:pPr>
            <w:r w:rsidDel="00000000" w:rsidR="00000000" w:rsidRPr="00000000">
              <w:rPr>
                <w:rtl w:val="0"/>
              </w:rPr>
            </w:r>
          </w:p>
        </w:tc>
        <w:tc>
          <w:tcPr/>
          <w:p w:rsidR="00000000" w:rsidDel="00000000" w:rsidP="00000000" w:rsidRDefault="00000000" w:rsidRPr="00000000" w14:paraId="00000070">
            <w:pPr>
              <w:rPr>
                <w:b w:val="1"/>
                <w:sz w:val="22"/>
                <w:szCs w:val="22"/>
              </w:rPr>
            </w:pPr>
            <w:r w:rsidDel="00000000" w:rsidR="00000000" w:rsidRPr="00000000">
              <w:rPr>
                <w:b w:val="1"/>
                <w:sz w:val="22"/>
                <w:szCs w:val="22"/>
                <w:rtl w:val="0"/>
              </w:rPr>
              <w:t xml:space="preserve">Theory / Composition (20% category)</w:t>
            </w:r>
          </w:p>
        </w:tc>
        <w:tc>
          <w:tcPr/>
          <w:p w:rsidR="00000000" w:rsidDel="00000000" w:rsidP="00000000" w:rsidRDefault="00000000" w:rsidRPr="00000000" w14:paraId="00000071">
            <w:pPr>
              <w:rPr>
                <w:b w:val="1"/>
                <w:sz w:val="22"/>
                <w:szCs w:val="22"/>
              </w:rPr>
            </w:pPr>
            <w:r w:rsidDel="00000000" w:rsidR="00000000" w:rsidRPr="00000000">
              <w:rPr>
                <w:b w:val="1"/>
                <w:sz w:val="22"/>
                <w:szCs w:val="22"/>
                <w:rtl w:val="0"/>
              </w:rPr>
              <w:t xml:space="preserve">• Theory tests/assignments</w:t>
            </w:r>
          </w:p>
          <w:p w:rsidR="00000000" w:rsidDel="00000000" w:rsidP="00000000" w:rsidRDefault="00000000" w:rsidRPr="00000000" w14:paraId="00000072">
            <w:pPr>
              <w:rPr>
                <w:b w:val="1"/>
                <w:sz w:val="22"/>
                <w:szCs w:val="22"/>
              </w:rPr>
            </w:pPr>
            <w:r w:rsidDel="00000000" w:rsidR="00000000" w:rsidRPr="00000000">
              <w:rPr>
                <w:b w:val="1"/>
                <w:sz w:val="22"/>
                <w:szCs w:val="22"/>
                <w:rtl w:val="0"/>
              </w:rPr>
              <w:t xml:space="preserve">• Composition project</w:t>
            </w:r>
          </w:p>
        </w:tc>
        <w:tc>
          <w:tcPr/>
          <w:p w:rsidR="00000000" w:rsidDel="00000000" w:rsidP="00000000" w:rsidRDefault="00000000" w:rsidRPr="00000000" w14:paraId="00000073">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4">
            <w:pPr>
              <w:rPr>
                <w:sz w:val="22"/>
                <w:szCs w:val="22"/>
              </w:rPr>
            </w:pPr>
            <w:r w:rsidDel="00000000" w:rsidR="00000000" w:rsidRPr="00000000">
              <w:rPr>
                <w:sz w:val="22"/>
                <w:szCs w:val="22"/>
                <w:rtl w:val="0"/>
              </w:rPr>
              <w:t xml:space="preserve">Unit 3: </w:t>
            </w:r>
          </w:p>
          <w:p w:rsidR="00000000" w:rsidDel="00000000" w:rsidP="00000000" w:rsidRDefault="00000000" w:rsidRPr="00000000" w14:paraId="00000075">
            <w:pPr>
              <w:rPr>
                <w:sz w:val="22"/>
                <w:szCs w:val="22"/>
              </w:rPr>
            </w:pP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b w:val="1"/>
                <w:sz w:val="22"/>
                <w:szCs w:val="22"/>
                <w:rtl w:val="0"/>
              </w:rPr>
              <w:t xml:space="preserve">Daily Performance (10% category)</w:t>
            </w:r>
          </w:p>
        </w:tc>
        <w:tc>
          <w:tcPr/>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 Ensemble preparation</w:t>
            </w:r>
          </w:p>
          <w:p w:rsidR="00000000" w:rsidDel="00000000" w:rsidP="00000000" w:rsidRDefault="00000000" w:rsidRPr="00000000" w14:paraId="00000079">
            <w:pPr>
              <w:rPr>
                <w:b w:val="1"/>
                <w:sz w:val="22"/>
                <w:szCs w:val="22"/>
              </w:rPr>
            </w:pPr>
            <w:r w:rsidDel="00000000" w:rsidR="00000000" w:rsidRPr="00000000">
              <w:rPr>
                <w:b w:val="1"/>
                <w:sz w:val="22"/>
                <w:szCs w:val="22"/>
                <w:rtl w:val="0"/>
              </w:rPr>
              <w:t xml:space="preserve">• Rehearsal etiquette</w:t>
            </w:r>
          </w:p>
          <w:p w:rsidR="00000000" w:rsidDel="00000000" w:rsidP="00000000" w:rsidRDefault="00000000" w:rsidRPr="00000000" w14:paraId="0000007A">
            <w:pPr>
              <w:rPr>
                <w:b w:val="1"/>
                <w:sz w:val="22"/>
                <w:szCs w:val="22"/>
              </w:rPr>
            </w:pPr>
            <w:r w:rsidDel="00000000" w:rsidR="00000000" w:rsidRPr="00000000">
              <w:rPr>
                <w:rtl w:val="0"/>
              </w:rPr>
            </w:r>
          </w:p>
        </w:tc>
        <w:tc>
          <w:tcPr/>
          <w:p w:rsidR="00000000" w:rsidDel="00000000" w:rsidP="00000000" w:rsidRDefault="00000000" w:rsidRPr="00000000" w14:paraId="0000007B">
            <w:pPr>
              <w:rPr>
                <w:b w:val="1"/>
                <w:sz w:val="22"/>
                <w:szCs w:val="22"/>
              </w:rPr>
            </w:pPr>
            <w:r w:rsidDel="00000000" w:rsidR="00000000" w:rsidRPr="00000000">
              <w:rPr>
                <w:b w:val="1"/>
                <w:sz w:val="22"/>
                <w:szCs w:val="22"/>
                <w:rtl w:val="0"/>
              </w:rPr>
              <w:t xml:space="preserve">Ongoing</w:t>
            </w:r>
          </w:p>
        </w:tc>
      </w:tr>
      <w:tr>
        <w:trPr>
          <w:cantSplit w:val="0"/>
          <w:trHeight w:val="233" w:hRule="atLeast"/>
          <w:tblHeader w:val="0"/>
        </w:trPr>
        <w:tc>
          <w:tcPr/>
          <w:p w:rsidR="00000000" w:rsidDel="00000000" w:rsidP="00000000" w:rsidRDefault="00000000" w:rsidRPr="00000000" w14:paraId="0000007C">
            <w:pPr>
              <w:rPr>
                <w:sz w:val="22"/>
                <w:szCs w:val="22"/>
              </w:rPr>
            </w:pPr>
            <w:r w:rsidDel="00000000" w:rsidR="00000000" w:rsidRPr="00000000">
              <w:rPr>
                <w:sz w:val="22"/>
                <w:szCs w:val="22"/>
                <w:rtl w:val="0"/>
              </w:rPr>
              <w:t xml:space="preserve">Unit 4: </w:t>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b w:val="1"/>
                <w:sz w:val="22"/>
                <w:szCs w:val="22"/>
              </w:rPr>
            </w:pPr>
            <w:r w:rsidDel="00000000" w:rsidR="00000000" w:rsidRPr="00000000">
              <w:rPr>
                <w:rtl w:val="0"/>
              </w:rPr>
            </w:r>
          </w:p>
        </w:tc>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Musical Analysis (5% category)</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 Rhythmic Dictation</w:t>
            </w:r>
          </w:p>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 Ear Training</w:t>
            </w:r>
          </w:p>
        </w:tc>
        <w:tc>
          <w:tcPr/>
          <w:p w:rsidR="00000000" w:rsidDel="00000000" w:rsidP="00000000" w:rsidRDefault="00000000" w:rsidRPr="00000000" w14:paraId="00000082">
            <w:pPr>
              <w:rPr>
                <w:b w:val="1"/>
                <w:sz w:val="22"/>
                <w:szCs w:val="22"/>
              </w:rPr>
            </w:pPr>
            <w:r w:rsidDel="00000000" w:rsidR="00000000" w:rsidRPr="00000000">
              <w:rPr>
                <w:b w:val="1"/>
                <w:sz w:val="22"/>
                <w:szCs w:val="22"/>
                <w:rtl w:val="0"/>
              </w:rPr>
              <w:t xml:space="preserve">Ongoing (once/twice per week)</w:t>
            </w:r>
          </w:p>
        </w:tc>
      </w:tr>
      <w:tr>
        <w:trPr>
          <w:cantSplit w:val="0"/>
          <w:trHeight w:val="233" w:hRule="atLeast"/>
          <w:tblHeader w:val="0"/>
        </w:trPr>
        <w:tc>
          <w:tcPr/>
          <w:p w:rsidR="00000000" w:rsidDel="00000000" w:rsidP="00000000" w:rsidRDefault="00000000" w:rsidRPr="00000000" w14:paraId="00000083">
            <w:pPr>
              <w:rPr>
                <w:sz w:val="22"/>
                <w:szCs w:val="22"/>
              </w:rPr>
            </w:pPr>
            <w:r w:rsidDel="00000000" w:rsidR="00000000" w:rsidRPr="00000000">
              <w:rPr>
                <w:sz w:val="22"/>
                <w:szCs w:val="22"/>
                <w:rtl w:val="0"/>
              </w:rPr>
              <w:t xml:space="preserve">Unit 5: </w:t>
            </w:r>
          </w:p>
        </w:tc>
        <w:tc>
          <w:tcPr/>
          <w:p w:rsidR="00000000" w:rsidDel="00000000" w:rsidP="00000000" w:rsidRDefault="00000000" w:rsidRPr="00000000" w14:paraId="00000084">
            <w:pPr>
              <w:rPr>
                <w:b w:val="1"/>
                <w:sz w:val="22"/>
                <w:szCs w:val="22"/>
              </w:rPr>
            </w:pPr>
            <w:r w:rsidDel="00000000" w:rsidR="00000000" w:rsidRPr="00000000">
              <w:rPr>
                <w:b w:val="1"/>
                <w:sz w:val="22"/>
                <w:szCs w:val="22"/>
                <w:rtl w:val="0"/>
              </w:rPr>
              <w:t xml:space="preserve">Music History (5% category)</w:t>
            </w:r>
          </w:p>
        </w:tc>
        <w:tc>
          <w:tcPr/>
          <w:p w:rsidR="00000000" w:rsidDel="00000000" w:rsidP="00000000" w:rsidRDefault="00000000" w:rsidRPr="00000000" w14:paraId="00000085">
            <w:pPr>
              <w:rPr>
                <w:b w:val="1"/>
                <w:sz w:val="22"/>
                <w:szCs w:val="22"/>
              </w:rPr>
            </w:pPr>
            <w:r w:rsidDel="00000000" w:rsidR="00000000" w:rsidRPr="00000000">
              <w:rPr>
                <w:b w:val="1"/>
                <w:sz w:val="22"/>
                <w:szCs w:val="22"/>
                <w:rtl w:val="0"/>
              </w:rPr>
              <w:t xml:space="preserve">• Listening assignment &amp; presentation</w:t>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rPr>
                <w:b w:val="1"/>
                <w:sz w:val="22"/>
                <w:szCs w:val="22"/>
              </w:rPr>
            </w:pPr>
            <w:r w:rsidDel="00000000" w:rsidR="00000000" w:rsidRPr="00000000">
              <w:rPr>
                <w:b w:val="1"/>
                <w:sz w:val="22"/>
                <w:szCs w:val="22"/>
                <w:rtl w:val="0"/>
              </w:rPr>
              <w:t xml:space="preserve">October - November</w:t>
            </w:r>
          </w:p>
        </w:tc>
      </w:tr>
      <w:tr>
        <w:trPr>
          <w:cantSplit w:val="0"/>
          <w:trHeight w:val="233" w:hRule="atLeast"/>
          <w:tblHeader w:val="0"/>
        </w:trPr>
        <w:tc>
          <w:tcPr/>
          <w:p w:rsidR="00000000" w:rsidDel="00000000" w:rsidP="00000000" w:rsidRDefault="00000000" w:rsidRPr="00000000" w14:paraId="00000088">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b w:val="1"/>
                <w:sz w:val="22"/>
                <w:szCs w:val="22"/>
              </w:rPr>
            </w:pPr>
            <w:r w:rsidDel="00000000" w:rsidR="00000000" w:rsidRPr="00000000">
              <w:rPr>
                <w:rtl w:val="0"/>
              </w:rPr>
            </w:r>
          </w:p>
        </w:tc>
        <w:tc>
          <w:tcPr/>
          <w:p w:rsidR="00000000" w:rsidDel="00000000" w:rsidP="00000000" w:rsidRDefault="00000000" w:rsidRPr="00000000" w14:paraId="0000008B">
            <w:pPr>
              <w:rPr>
                <w:b w:val="1"/>
                <w:sz w:val="22"/>
                <w:szCs w:val="22"/>
              </w:rPr>
            </w:pPr>
            <w:r w:rsidDel="00000000" w:rsidR="00000000" w:rsidRPr="00000000">
              <w:rPr>
                <w:b w:val="1"/>
                <w:sz w:val="22"/>
                <w:szCs w:val="22"/>
                <w:rtl w:val="0"/>
              </w:rPr>
              <w:t xml:space="preserve">Summative Project (30% category)</w:t>
            </w:r>
          </w:p>
        </w:tc>
        <w:tc>
          <w:tcPr/>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 Summative repertoire research (5%)</w:t>
            </w:r>
          </w:p>
          <w:p w:rsidR="00000000" w:rsidDel="00000000" w:rsidP="00000000" w:rsidRDefault="00000000" w:rsidRPr="00000000" w14:paraId="0000008D">
            <w:pPr>
              <w:rPr>
                <w:b w:val="1"/>
                <w:sz w:val="22"/>
                <w:szCs w:val="22"/>
              </w:rPr>
            </w:pPr>
            <w:r w:rsidDel="00000000" w:rsidR="00000000" w:rsidRPr="00000000">
              <w:rPr>
                <w:b w:val="1"/>
                <w:sz w:val="22"/>
                <w:szCs w:val="22"/>
                <w:rtl w:val="0"/>
              </w:rPr>
              <w:t xml:space="preserve">• Summative repertoire performance (15%)</w:t>
            </w:r>
          </w:p>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 Theory/Ear Training Evaluation (10%)</w:t>
            </w:r>
          </w:p>
        </w:tc>
        <w:tc>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December - January</w:t>
            </w:r>
          </w:p>
        </w:tc>
      </w:tr>
    </w:tbl>
    <w:p w:rsidR="00000000" w:rsidDel="00000000" w:rsidP="00000000" w:rsidRDefault="00000000" w:rsidRPr="00000000" w14:paraId="0000009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