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PAF2O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10 Personal Fitness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Substance use and abuse, nutrition and healthy choices, mental health and well-being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