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w:t>
            </w:r>
            <w:r w:rsidDel="00000000" w:rsidR="00000000" w:rsidRPr="00000000">
              <w:rPr>
                <w:rFonts w:ascii="Arial Narrow" w:cs="Arial Narrow" w:eastAsia="Arial Narrow" w:hAnsi="Arial Narrow"/>
                <w:rtl w:val="0"/>
              </w:rPr>
              <w:t xml:space="preserve">HHS4U1</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w:t>
            </w:r>
            <w:r w:rsidDel="00000000" w:rsidR="00000000" w:rsidRPr="00000000">
              <w:rPr>
                <w:rFonts w:ascii="Arial Narrow" w:cs="Arial Narrow" w:eastAsia="Arial Narrow" w:hAnsi="Arial Narrow"/>
                <w:rtl w:val="0"/>
              </w:rPr>
              <w:t xml:space="preserve">Families In Canada</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36"/>
                <w:szCs w:val="36"/>
              </w:rPr>
            </w:pPr>
            <w:r w:rsidDel="00000000" w:rsidR="00000000" w:rsidRPr="00000000">
              <w:rPr>
                <w:rFonts w:ascii="Arial Narrow" w:cs="Arial Narrow" w:eastAsia="Arial Narrow" w:hAnsi="Arial Narrow"/>
                <w:b w:val="1"/>
                <w:color w:val="000000"/>
                <w:sz w:val="36"/>
                <w:szCs w:val="36"/>
                <w:rtl w:val="0"/>
              </w:rPr>
              <w:t xml:space="preserve">202</w:t>
            </w:r>
            <w:r w:rsidDel="00000000" w:rsidR="00000000" w:rsidRPr="00000000">
              <w:rPr>
                <w:rFonts w:ascii="Arial Narrow" w:cs="Arial Narrow" w:eastAsia="Arial Narrow" w:hAnsi="Arial Narrow"/>
                <w:b w:val="1"/>
                <w:sz w:val="36"/>
                <w:szCs w:val="36"/>
                <w:rtl w:val="0"/>
              </w:rPr>
              <w:t xml:space="preserve">2</w:t>
            </w:r>
            <w:r w:rsidDel="00000000" w:rsidR="00000000" w:rsidRPr="00000000">
              <w:rPr>
                <w:rFonts w:ascii="Arial Narrow" w:cs="Arial Narrow" w:eastAsia="Arial Narrow" w:hAnsi="Arial Narrow"/>
                <w:b w:val="1"/>
                <w:color w:val="000000"/>
                <w:sz w:val="36"/>
                <w:szCs w:val="36"/>
                <w:rtl w:val="0"/>
              </w:rPr>
              <w:t xml:space="preserve">-202</w:t>
            </w:r>
            <w:r w:rsidDel="00000000" w:rsidR="00000000" w:rsidRPr="00000000">
              <w:rPr>
                <w:rFonts w:ascii="Arial Narrow" w:cs="Arial Narrow" w:eastAsia="Arial Narrow" w:hAnsi="Arial Narrow"/>
                <w:b w:val="1"/>
                <w:sz w:val="36"/>
                <w:szCs w:val="36"/>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widowControl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course students will examine and apply current theories and research from the disciplines of anthropology, psychology, and sociology to the study of individual development, family behaviour, intimate and parent-child relationships, and the ways in which families interact within the diverse Canadian society. </w:t>
            </w:r>
          </w:p>
          <w:p w:rsidR="00000000" w:rsidDel="00000000" w:rsidP="00000000" w:rsidRDefault="00000000" w:rsidRPr="00000000" w14:paraId="00000010">
            <w:pPr>
              <w:widowControl w:val="0"/>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 The textbook for this course is </w:t>
            </w:r>
            <w:r w:rsidDel="00000000" w:rsidR="00000000" w:rsidRPr="00000000">
              <w:rPr>
                <w:rFonts w:ascii="Arial Narrow" w:cs="Arial Narrow" w:eastAsia="Arial Narrow" w:hAnsi="Arial Narrow"/>
                <w:sz w:val="20"/>
                <w:szCs w:val="20"/>
                <w:u w:val="single"/>
                <w:rtl w:val="0"/>
              </w:rPr>
              <w:t xml:space="preserve">Individuals and Families</w:t>
            </w:r>
            <w:r w:rsidDel="00000000" w:rsidR="00000000" w:rsidRPr="00000000">
              <w:rPr>
                <w:rFonts w:ascii="Arial Narrow" w:cs="Arial Narrow" w:eastAsia="Arial Narrow" w:hAnsi="Arial Narrow"/>
                <w:sz w:val="20"/>
                <w:szCs w:val="20"/>
                <w:rtl w:val="0"/>
              </w:rPr>
              <w:t xml:space="preserve">.  Students will be issued this book at the beginning of the course.  The replacement cost for this textbook $120.00.</w:t>
            </w:r>
          </w:p>
          <w:p w:rsidR="00000000" w:rsidDel="00000000" w:rsidP="00000000" w:rsidRDefault="00000000" w:rsidRPr="00000000" w14:paraId="0000004B">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6"/>
          <w:szCs w:val="6"/>
        </w:rPr>
      </w:pPr>
      <w:r w:rsidDel="00000000" w:rsidR="00000000" w:rsidRPr="00000000">
        <w:rPr>
          <w:rtl w:val="0"/>
        </w:rPr>
      </w:r>
    </w:p>
    <w:tbl>
      <w:tblPr>
        <w:tblStyle w:val="Table7"/>
        <w:tblW w:w="108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0"/>
        <w:gridCol w:w="4695"/>
        <w:gridCol w:w="2940"/>
        <w:gridCol w:w="1260"/>
        <w:tblGridChange w:id="0">
          <w:tblGrid>
            <w:gridCol w:w="1920"/>
            <w:gridCol w:w="4695"/>
            <w:gridCol w:w="2940"/>
            <w:gridCol w:w="1260"/>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B">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6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6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6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All in the Family</w:t>
            </w:r>
          </w:p>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6">
            <w:pPr>
              <w:widowControl w:val="0"/>
              <w:spacing w:after="120" w:lineRule="auto"/>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This unit establishes the framework for the study of individuals and families in Canada’s diverse society.  The functions and diversity of Canadian families will be examined.  Students will also learn about various theoretical perspectives from which individual and family behaviour can be viewed.</w:t>
            </w:r>
            <w:r w:rsidDel="00000000" w:rsidR="00000000" w:rsidRPr="00000000">
              <w:rPr>
                <w:rtl w:val="0"/>
              </w:rPr>
            </w:r>
          </w:p>
        </w:tc>
        <w:tc>
          <w:tcPr/>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the following:</w:t>
            </w:r>
          </w:p>
          <w:p w:rsidR="00000000" w:rsidDel="00000000" w:rsidP="00000000" w:rsidRDefault="00000000" w:rsidRPr="00000000" w14:paraId="00000068">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69">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 </w:t>
            </w:r>
          </w:p>
          <w:p w:rsidR="00000000" w:rsidDel="00000000" w:rsidP="00000000" w:rsidRDefault="00000000" w:rsidRPr="00000000" w14:paraId="0000006A">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Projects</w:t>
            </w:r>
          </w:p>
          <w:p w:rsidR="00000000" w:rsidDel="00000000" w:rsidP="00000000" w:rsidRDefault="00000000" w:rsidRPr="00000000" w14:paraId="0000006B">
            <w:pPr>
              <w:ind w:left="720" w:firstLine="0"/>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25 hours</w:t>
            </w:r>
          </w:p>
        </w:tc>
      </w:tr>
      <w:tr>
        <w:trPr>
          <w:cantSplit w:val="0"/>
          <w:trHeight w:val="233" w:hRule="atLeast"/>
          <w:tblHeader w:val="0"/>
        </w:trPr>
        <w:tc>
          <w:tcPr/>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Emerging Adulthood</w:t>
            </w:r>
          </w:p>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3">
            <w:pPr>
              <w:widowControl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This unit investigates the transition of young Canadians into adulthood at the beginning of the 21</w:t>
            </w:r>
            <w:r w:rsidDel="00000000" w:rsidR="00000000" w:rsidRPr="00000000">
              <w:rPr>
                <w:rFonts w:ascii="Arial Narrow" w:cs="Arial Narrow" w:eastAsia="Arial Narrow" w:hAnsi="Arial Narrow"/>
                <w:sz w:val="22"/>
                <w:szCs w:val="22"/>
                <w:vertAlign w:val="superscript"/>
                <w:rtl w:val="0"/>
              </w:rPr>
              <w:t xml:space="preserve">st</w:t>
            </w:r>
            <w:r w:rsidDel="00000000" w:rsidR="00000000" w:rsidRPr="00000000">
              <w:rPr>
                <w:rFonts w:ascii="Arial Narrow" w:cs="Arial Narrow" w:eastAsia="Arial Narrow" w:hAnsi="Arial Narrow"/>
                <w:sz w:val="22"/>
                <w:szCs w:val="22"/>
                <w:rtl w:val="0"/>
              </w:rPr>
              <w:t xml:space="preserve"> century.  Research will be examined to determine when and how Canadians are leaving to live independently, finishing their education, finding jobs, and forming adult relationships.  In addition to the psychological and developmental factors that influence young adults in their transition, relationships within the family and with others will also be explored. </w:t>
            </w:r>
          </w:p>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the following:</w:t>
            </w:r>
          </w:p>
          <w:p w:rsidR="00000000" w:rsidDel="00000000" w:rsidP="00000000" w:rsidRDefault="00000000" w:rsidRPr="00000000" w14:paraId="00000076">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77">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 </w:t>
            </w:r>
          </w:p>
          <w:p w:rsidR="00000000" w:rsidDel="00000000" w:rsidP="00000000" w:rsidRDefault="00000000" w:rsidRPr="00000000" w14:paraId="00000078">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Projects</w:t>
            </w:r>
          </w:p>
          <w:p w:rsidR="00000000" w:rsidDel="00000000" w:rsidP="00000000" w:rsidRDefault="00000000" w:rsidRPr="00000000" w14:paraId="00000079">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 </w:t>
            </w:r>
          </w:p>
          <w:p w:rsidR="00000000" w:rsidDel="00000000" w:rsidP="00000000" w:rsidRDefault="00000000" w:rsidRPr="00000000" w14:paraId="0000007A">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r w:rsidDel="00000000" w:rsidR="00000000" w:rsidRPr="00000000">
              <w:rPr>
                <w:rtl w:val="0"/>
              </w:rPr>
            </w:r>
          </w:p>
        </w:tc>
        <w:tc>
          <w:tcPr/>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25 hours</w:t>
            </w:r>
          </w:p>
        </w:tc>
      </w:tr>
      <w:tr>
        <w:trPr>
          <w:cantSplit w:val="0"/>
          <w:trHeight w:val="233" w:hRule="atLeast"/>
          <w:tblHeader w:val="0"/>
        </w:trPr>
        <w:tc>
          <w:tcPr/>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Couple Relationships</w:t>
            </w:r>
          </w:p>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1">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the conjugal relationships of Canadians, including marriage and alternative intimate relationships will be examined. The history of marriage and intimate relationships will be traced as well as the diversity of conjugal relationships in Canada today.  In addition, the psychology of attraction, courtship and mate selection and the factors that contribute to satisfying relationships for both men and women will be explored. </w:t>
            </w:r>
          </w:p>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the following:</w:t>
            </w:r>
          </w:p>
          <w:p w:rsidR="00000000" w:rsidDel="00000000" w:rsidP="00000000" w:rsidRDefault="00000000" w:rsidRPr="00000000" w14:paraId="00000085">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86">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 </w:t>
            </w:r>
          </w:p>
          <w:p w:rsidR="00000000" w:rsidDel="00000000" w:rsidP="00000000" w:rsidRDefault="00000000" w:rsidRPr="00000000" w14:paraId="00000087">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Projects</w:t>
            </w:r>
          </w:p>
          <w:p w:rsidR="00000000" w:rsidDel="00000000" w:rsidP="00000000" w:rsidRDefault="00000000" w:rsidRPr="00000000" w14:paraId="00000088">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 </w:t>
            </w:r>
          </w:p>
          <w:p w:rsidR="00000000" w:rsidDel="00000000" w:rsidP="00000000" w:rsidRDefault="00000000" w:rsidRPr="00000000" w14:paraId="00000089">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r w:rsidDel="00000000" w:rsidR="00000000" w:rsidRPr="00000000">
              <w:rPr>
                <w:rtl w:val="0"/>
              </w:rPr>
            </w:r>
          </w:p>
          <w:p w:rsidR="00000000" w:rsidDel="00000000" w:rsidP="00000000" w:rsidRDefault="00000000" w:rsidRPr="00000000" w14:paraId="0000008A">
            <w:pPr>
              <w:ind w:left="0" w:firstLine="0"/>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25 hours</w:t>
            </w:r>
          </w:p>
        </w:tc>
      </w:tr>
      <w:tr>
        <w:trPr>
          <w:cantSplit w:val="0"/>
          <w:trHeight w:val="233" w:hRule="atLeast"/>
          <w:tblHeader w:val="0"/>
        </w:trPr>
        <w:tc>
          <w:tcPr/>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Expanding Families</w:t>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2">
            <w:pPr>
              <w:widowControl w:val="0"/>
              <w:spacing w:after="120" w:lineRule="auto"/>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This unit explores parent-child relationships which will be explored through an analysis of related theories and research.  The roles of children and parents in Canada will be traced and the trends in Canada today will be evaluated. Specific issues and trends, such as divorce, that have impacts on Canadian parent-child relationships will be discussed.</w:t>
            </w:r>
            <w:r w:rsidDel="00000000" w:rsidR="00000000" w:rsidRPr="00000000">
              <w:rPr>
                <w:rtl w:val="0"/>
              </w:rPr>
            </w:r>
          </w:p>
        </w:tc>
        <w:tc>
          <w:tcPr/>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the following:</w:t>
            </w:r>
          </w:p>
          <w:p w:rsidR="00000000" w:rsidDel="00000000" w:rsidP="00000000" w:rsidRDefault="00000000" w:rsidRPr="00000000" w14:paraId="00000094">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r w:rsidDel="00000000" w:rsidR="00000000" w:rsidRPr="00000000">
              <w:rPr>
                <w:rtl w:val="0"/>
              </w:rPr>
            </w:r>
          </w:p>
          <w:p w:rsidR="00000000" w:rsidDel="00000000" w:rsidP="00000000" w:rsidRDefault="00000000" w:rsidRPr="00000000" w14:paraId="00000095">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 </w:t>
            </w:r>
            <w:r w:rsidDel="00000000" w:rsidR="00000000" w:rsidRPr="00000000">
              <w:rPr>
                <w:rtl w:val="0"/>
              </w:rPr>
            </w:r>
          </w:p>
          <w:p w:rsidR="00000000" w:rsidDel="00000000" w:rsidP="00000000" w:rsidRDefault="00000000" w:rsidRPr="00000000" w14:paraId="00000096">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Projects</w:t>
            </w:r>
            <w:r w:rsidDel="00000000" w:rsidR="00000000" w:rsidRPr="00000000">
              <w:rPr>
                <w:rtl w:val="0"/>
              </w:rPr>
            </w:r>
          </w:p>
          <w:p w:rsidR="00000000" w:rsidDel="00000000" w:rsidP="00000000" w:rsidRDefault="00000000" w:rsidRPr="00000000" w14:paraId="00000097">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 </w:t>
            </w:r>
            <w:r w:rsidDel="00000000" w:rsidR="00000000" w:rsidRPr="00000000">
              <w:rPr>
                <w:rtl w:val="0"/>
              </w:rPr>
            </w:r>
          </w:p>
          <w:p w:rsidR="00000000" w:rsidDel="00000000" w:rsidP="00000000" w:rsidRDefault="00000000" w:rsidRPr="00000000" w14:paraId="00000098">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r w:rsidDel="00000000" w:rsidR="00000000" w:rsidRPr="00000000">
              <w:rPr>
                <w:rtl w:val="0"/>
              </w:rPr>
            </w:r>
          </w:p>
        </w:tc>
        <w:tc>
          <w:tcPr/>
          <w:p w:rsidR="00000000" w:rsidDel="00000000" w:rsidP="00000000" w:rsidRDefault="00000000" w:rsidRPr="00000000" w14:paraId="0000009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25 hours</w:t>
            </w:r>
          </w:p>
        </w:tc>
      </w:tr>
      <w:tr>
        <w:trPr>
          <w:cantSplit w:val="0"/>
          <w:trHeight w:val="233" w:hRule="atLeast"/>
          <w:tblHeader w:val="0"/>
        </w:trPr>
        <w:tc>
          <w:tcPr/>
          <w:p w:rsidR="00000000" w:rsidDel="00000000" w:rsidP="00000000" w:rsidRDefault="00000000" w:rsidRPr="00000000" w14:paraId="0000009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5: Middle and Later Life</w:t>
            </w:r>
          </w:p>
        </w:tc>
        <w:tc>
          <w:tcPr/>
          <w:p w:rsidR="00000000" w:rsidDel="00000000" w:rsidP="00000000" w:rsidRDefault="00000000" w:rsidRPr="00000000" w14:paraId="0000009E">
            <w:pPr>
              <w:widowControl w:val="0"/>
              <w:spacing w:after="12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lives of individuals in middle adulthood is discussed in this unit.  To illustrate the role that adults of all ages play in Canadian society, the age transitions of adulthood, midlife, retirement, and old age will be outlined.  The history and psychology of aging and the factors that contribute to satisfaction at each stage of life for both men and women will be examined.</w:t>
            </w:r>
          </w:p>
        </w:tc>
        <w:tc>
          <w:tcPr/>
          <w:p w:rsidR="00000000" w:rsidDel="00000000" w:rsidP="00000000" w:rsidRDefault="00000000" w:rsidRPr="00000000" w14:paraId="0000009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the following:</w:t>
            </w:r>
          </w:p>
          <w:p w:rsidR="00000000" w:rsidDel="00000000" w:rsidP="00000000" w:rsidRDefault="00000000" w:rsidRPr="00000000" w14:paraId="000000A0">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A1">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 </w:t>
            </w:r>
          </w:p>
          <w:p w:rsidR="00000000" w:rsidDel="00000000" w:rsidP="00000000" w:rsidRDefault="00000000" w:rsidRPr="00000000" w14:paraId="000000A2">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Projects</w:t>
            </w:r>
          </w:p>
          <w:p w:rsidR="00000000" w:rsidDel="00000000" w:rsidP="00000000" w:rsidRDefault="00000000" w:rsidRPr="00000000" w14:paraId="000000A3">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 </w:t>
            </w:r>
          </w:p>
          <w:p w:rsidR="00000000" w:rsidDel="00000000" w:rsidP="00000000" w:rsidRDefault="00000000" w:rsidRPr="00000000" w14:paraId="000000A4">
            <w:pPr>
              <w:numPr>
                <w:ilvl w:val="0"/>
                <w:numId w:val="1"/>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p>
        </w:tc>
        <w:tc>
          <w:tcPr/>
          <w:p w:rsidR="00000000" w:rsidDel="00000000" w:rsidP="00000000" w:rsidRDefault="00000000" w:rsidRPr="00000000" w14:paraId="000000A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 hours</w:t>
            </w:r>
          </w:p>
        </w:tc>
      </w:tr>
      <w:tr>
        <w:trPr>
          <w:cantSplit w:val="0"/>
          <w:trHeight w:val="233" w:hRule="atLeast"/>
          <w:tblHeader w:val="0"/>
        </w:trPr>
        <w:tc>
          <w:tcPr/>
          <w:p w:rsidR="00000000" w:rsidDel="00000000" w:rsidP="00000000" w:rsidRDefault="00000000" w:rsidRPr="00000000" w14:paraId="000000A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A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A9">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A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w:t>
            </w:r>
          </w:p>
          <w:p w:rsidR="00000000" w:rsidDel="00000000" w:rsidP="00000000" w:rsidRDefault="00000000" w:rsidRPr="00000000" w14:paraId="000000AB">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w:t>
            </w:r>
            <w:r w:rsidDel="00000000" w:rsidR="00000000" w:rsidRPr="00000000">
              <w:rPr>
                <w:rtl w:val="0"/>
              </w:rPr>
            </w:r>
          </w:p>
          <w:p w:rsidR="00000000" w:rsidDel="00000000" w:rsidP="00000000" w:rsidRDefault="00000000" w:rsidRPr="00000000" w14:paraId="000000AC">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w:t>
            </w:r>
          </w:p>
          <w:p w:rsidR="00000000" w:rsidDel="00000000" w:rsidP="00000000" w:rsidRDefault="00000000" w:rsidRPr="00000000" w14:paraId="000000AD">
            <w:pPr>
              <w:numPr>
                <w:ilvl w:val="0"/>
                <w:numId w:val="2"/>
              </w:numPr>
              <w:ind w:left="72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Exam</w:t>
            </w:r>
          </w:p>
        </w:tc>
        <w:tc>
          <w:tcPr/>
          <w:p w:rsidR="00000000" w:rsidDel="00000000" w:rsidP="00000000" w:rsidRDefault="00000000" w:rsidRPr="00000000" w14:paraId="000000A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16 hours</w:t>
            </w:r>
          </w:p>
        </w:tc>
      </w:tr>
    </w:tbl>
    <w:p w:rsidR="00000000" w:rsidDel="00000000" w:rsidP="00000000" w:rsidRDefault="00000000" w:rsidRPr="00000000" w14:paraId="000000B0">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1">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2">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3">
      <w:pPr>
        <w:rPr>
          <w:rFonts w:ascii="Arial Narrow" w:cs="Arial Narrow" w:eastAsia="Arial Narrow" w:hAnsi="Arial Narrow"/>
          <w:sz w:val="10"/>
          <w:szCs w:val="10"/>
        </w:rPr>
      </w:pPr>
      <w:r w:rsidDel="00000000" w:rsidR="00000000" w:rsidRPr="00000000">
        <w:rPr>
          <w:rtl w:val="0"/>
        </w:rPr>
      </w:r>
    </w:p>
    <w:sectPr>
      <w:pgSz w:h="15840" w:w="12240" w:orient="portrait"/>
      <w:pgMar w:bottom="360" w:top="36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PKI3Dhun1nV+0Aq7CyxMdCxtlQ==">AMUW2mWZoTpYTov/sLXSCDi1DdEahO88D8A6jODR+epAJooXxKL1/AF0wavri9B2yAYRKYkIO08Ho5C3t1F3HV7LsPdxQtWAk7ptGRJqO4ea4EUJ0vr3XqQ=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