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w:t>
            </w:r>
            <w:r w:rsidDel="00000000" w:rsidR="00000000" w:rsidRPr="00000000">
              <w:rPr>
                <w:rFonts w:ascii="Arial Narrow" w:cs="Arial Narrow" w:eastAsia="Arial Narrow" w:hAnsi="Arial Narrow"/>
                <w:rtl w:val="0"/>
              </w:rPr>
              <w:t xml:space="preserve">HRT3M</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World Religions</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2-2023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Arial" w:cs="Arial" w:eastAsia="Arial" w:hAnsi="Arial"/>
                <w:b w:val="1"/>
                <w:color w:val="000000"/>
                <w:sz w:val="22"/>
                <w:szCs w:val="22"/>
                <w:rtl w:val="0"/>
              </w:rPr>
              <w:t xml:space="preserve">Course Description/Rationale/Overview:</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16"/>
                <w:szCs w:val="16"/>
                <w:rtl w:val="0"/>
              </w:rPr>
              <w:t xml:space="preserve"> The World Religions course introduces students to an exploration of religions around the world and provides them with an awareness of the nature, place, and function of diverse societies.  The course examines the critical issues facing the world religions and their followers today.  In addition, students will learn about a variety of religious beliefs, teachings, traditions, and practices.  The course also helps students to develop skills used in investigating topics related to world religions.</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B">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8">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B">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C">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D">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F">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5">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8">
            <w:pPr>
              <w:spacing w:before="120" w:lineRule="auto"/>
              <w:jc w:val="center"/>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9">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4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B">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4">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5">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6">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A">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B">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2">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8">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Introduction to the Religious Impulse and Ancient Religions</w:t>
            </w:r>
          </w:p>
        </w:tc>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Heavenly Holidays Assignment</w:t>
            </w:r>
          </w:p>
        </w:tc>
        <w:tc>
          <w:tcPr/>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Aboriginal Spirituality</w:t>
            </w:r>
          </w:p>
        </w:tc>
        <w:tc>
          <w:tcPr/>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tc>
        <w:tc>
          <w:tcPr/>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Eastern Religions:  Hinduism &amp; Buddhism</w:t>
            </w:r>
          </w:p>
        </w:tc>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Posters and Gameboards</w:t>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Western Religions:  Judaism, Christianity and Islam</w:t>
            </w:r>
          </w:p>
        </w:tc>
        <w:tc>
          <w:tcPr/>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Antisemitism and Islamophobia Assignments</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Christianity Assignment </w:t>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Reflection Exam</w:t>
            </w:r>
          </w:p>
        </w:tc>
        <w:tc>
          <w:tcPr/>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Note-taking Sheet</w:t>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Reflection Lesson</w:t>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Exam</w:t>
            </w:r>
          </w:p>
        </w:tc>
        <w:tc>
          <w:tcPr/>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bl>
    <w:p w:rsidR="00000000" w:rsidDel="00000000" w:rsidP="00000000" w:rsidRDefault="00000000" w:rsidRPr="00000000" w14:paraId="0000008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6795135" cy="7576624"/>
                <wp:effectExtent b="0" l="0" r="0" t="0"/>
                <wp:wrapNone/>
                <wp:docPr id="4" name=""/>
                <a:graphic>
                  <a:graphicData uri="http://schemas.microsoft.com/office/word/2010/wordprocessingShape">
                    <wps:wsp>
                      <wps:cNvSpPr/>
                      <wps:cNvPr id="2" name="Shape 2"/>
                      <wps:spPr>
                        <a:xfrm>
                          <a:off x="1953195" y="0"/>
                          <a:ext cx="678561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Course Outline: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Unit 1: The Religious Impulse and Religion Among Ancient Peoples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This unit establishes the framework for the study of world religions in Canada’s diverse society.  Students examine how and approximately when early peoples developed religion.  Students also examine the religious impulse in which humans feel the need to worship a power or powers that are supernatural and greater than their own.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Unit 2: Aboriginal Spirituality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This unit examines the beginnings of religion through the study of aboriginal peoples throughout the world and the practices and constructs of their spirituality.  Concepts such as the nature of deity, polytheism and monotheism will be explored.  Other early religions such as Zoroastrianism will be examined as precursors to the predominant western religions.  Religious symbolism and its importance will also be investigated.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Unit 3: Eastern Religions:  Hinduism and Buddhism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This unit will have students examine the major eastern religions, their origins and ways in which differing cultural traditions have shaped how these religions are practiced.  In addition, students will contrast eastern religions with their own spiritual beliefs.  Concepts of reincarnation, the caste system, and arranged marriages will also be explored.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Unit 4: Western Religions:  Judaism, Christianity, and Islam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This unit will focus on the intricate connections that western religions share.  The connections with the origins of Judaism and Babylon to Christianity and Islam are illustrated. The timing and causes of divergence of these religions from each other is examined.  Similarities and beliefs, rituals and practices are emphasized during this unit.  The unit also examines issues such as antisemitism and islamophobia and examines how dialogue and understanding helps to combat prejudice and discrimination.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6795135" cy="7576624"/>
                <wp:effectExtent b="0" l="0" r="0" t="0"/>
                <wp:wrapNone/>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795135" cy="7576624"/>
                        </a:xfrm>
                        <a:prstGeom prst="rect"/>
                        <a:ln/>
                      </pic:spPr>
                    </pic:pic>
                  </a:graphicData>
                </a:graphic>
              </wp:anchor>
            </w:drawing>
          </mc:Fallback>
        </mc:AlternateContent>
      </w:r>
    </w:p>
    <w:p w:rsidR="00000000" w:rsidDel="00000000" w:rsidP="00000000" w:rsidRDefault="00000000" w:rsidRPr="00000000" w14:paraId="00000084">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sz w:val="10"/>
          <w:szCs w:val="10"/>
        </w:rPr>
      </w:pPr>
      <w:r w:rsidDel="00000000" w:rsidR="00000000" w:rsidRPr="00000000">
        <w:rPr>
          <w:rtl w:val="0"/>
        </w:rPr>
      </w:r>
    </w:p>
    <w:sectPr>
      <w:footerReference r:id="rId11" w:type="default"/>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77r5oFZpYHb4TP9KELqL66KEqg==">AMUW2mX6sfeZ9WNxyodIyg+9fcqjzcLOzxAXitIj0fzAhFHNXME6rnHWfc/DANYsQI3/ONh2U/Uf2xEwM/5secdmU99shOR4avrBPuvJBmRpf/JStXv2tp8=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2023-01-29T21:55:00Z</dcterms:created>
</cp:coreProperties>
</file>