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HSB4U</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Challenge and </w:t>
            </w:r>
            <w:r w:rsidDel="00000000" w:rsidR="00000000" w:rsidRPr="00000000">
              <w:rPr>
                <w:rFonts w:ascii="Arial Narrow" w:cs="Arial Narrow" w:eastAsia="Arial Narrow" w:hAnsi="Arial Narrow"/>
                <w:rtl w:val="0"/>
              </w:rPr>
              <w:t xml:space="preserve">Change in Society</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4</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tc>
      </w:tr>
    </w:tbl>
    <w:p w:rsidR="00000000" w:rsidDel="00000000" w:rsidP="00000000" w:rsidRDefault="00000000" w:rsidRPr="00000000" w14:paraId="0000000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E">
            <w:pPr>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In this course, students will focus on the use of social science theories, perspectives, and methodologies to investigate and explain shifts in knowledge, attitudes, beliefs, and behaviour and their impact on society. Students will critically analyse how and why cultural, social, and behavioural patterns change over time. They will explore the ideas of social theorists and use those ideas to analyse causes of and responses to challenges such as technological change, deviance, and global inequalities. Students will explore ways in which social science research methods can be used to study social change. </w:t>
            </w:r>
            <w:r w:rsidDel="00000000" w:rsidR="00000000" w:rsidRPr="00000000">
              <w:rPr>
                <w:rtl w:val="0"/>
              </w:rPr>
            </w:r>
          </w:p>
        </w:tc>
      </w:tr>
    </w:tbl>
    <w:p w:rsidR="00000000" w:rsidDel="00000000" w:rsidP="00000000" w:rsidRDefault="00000000" w:rsidRPr="00000000" w14:paraId="0000000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8">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1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1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5">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6">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35%</w:t>
            </w:r>
          </w:p>
        </w:tc>
        <w:tc>
          <w:tcPr>
            <w:vAlign w:val="center"/>
          </w:tcPr>
          <w:p w:rsidR="00000000" w:rsidDel="00000000" w:rsidP="00000000" w:rsidRDefault="00000000" w:rsidRPr="00000000" w14:paraId="0000002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8">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9">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2A">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C">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Align w:val="center"/>
          </w:tcPr>
          <w:p w:rsidR="00000000" w:rsidDel="00000000" w:rsidP="00000000" w:rsidRDefault="00000000" w:rsidRPr="00000000" w14:paraId="0000002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2">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5">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36">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vAlign w:val="center"/>
          </w:tcPr>
          <w:p w:rsidR="00000000" w:rsidDel="00000000" w:rsidP="00000000" w:rsidRDefault="00000000" w:rsidRPr="00000000" w14:paraId="0000003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3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1">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2">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3">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7">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8">
            <w:pPr>
              <w:widowControl w:val="0"/>
              <w:spacing w:line="276" w:lineRule="auto"/>
              <w:ind w:right="-184"/>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 The textbook for this course is </w:t>
            </w:r>
            <w:r w:rsidDel="00000000" w:rsidR="00000000" w:rsidRPr="00000000">
              <w:rPr>
                <w:rFonts w:ascii="Arial Narrow" w:cs="Arial Narrow" w:eastAsia="Arial Narrow" w:hAnsi="Arial Narrow"/>
                <w:i w:val="1"/>
                <w:color w:val="222222"/>
                <w:sz w:val="20"/>
                <w:szCs w:val="20"/>
                <w:rtl w:val="0"/>
              </w:rPr>
              <w:t xml:space="preserve">Challenge and Change - Patterns, Trends, and Shifts in Society</w:t>
            </w:r>
            <w:r w:rsidDel="00000000" w:rsidR="00000000" w:rsidRPr="00000000">
              <w:rPr>
                <w:rFonts w:ascii="Arial Narrow" w:cs="Arial Narrow" w:eastAsia="Arial Narrow" w:hAnsi="Arial Narrow"/>
                <w:color w:val="222222"/>
                <w:sz w:val="20"/>
                <w:szCs w:val="20"/>
                <w:rtl w:val="0"/>
              </w:rPr>
              <w:t xml:space="preserve">. Students will be issued this book at the beginning of the course.  The replacement cost for this textbook is $90.00.</w:t>
            </w:r>
            <w:r w:rsidDel="00000000" w:rsidR="00000000" w:rsidRPr="00000000">
              <w:rPr>
                <w:rtl w:val="0"/>
              </w:rPr>
            </w:r>
          </w:p>
        </w:tc>
      </w:tr>
    </w:tbl>
    <w:p w:rsidR="00000000" w:rsidDel="00000000" w:rsidP="00000000" w:rsidRDefault="00000000" w:rsidRPr="00000000" w14:paraId="0000004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4D">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E">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1">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3">
      <w:pPr>
        <w:rPr>
          <w:rFonts w:ascii="Arial Narrow" w:cs="Arial Narrow" w:eastAsia="Arial Narrow" w:hAnsi="Arial Narrow"/>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4">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8">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9">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5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5C">
            <w:pPr>
              <w:spacing w:after="0" w:before="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Research and Inquiry in the Social Sciences</w:t>
            </w:r>
          </w:p>
          <w:p w:rsidR="00000000" w:rsidDel="00000000" w:rsidP="00000000" w:rsidRDefault="00000000" w:rsidRPr="00000000" w14:paraId="0000005D">
            <w:pPr>
              <w:spacing w:after="0" w:before="0" w:lineRule="auto"/>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5E">
            <w:pPr>
              <w:spacing w:after="0" w:before="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Throughout the course, students will explore topics related to the analysis of social change, and formulate questions to guide their research. Students will have several opportunities to create research plans, and locate and select information relevant to their chosen topics, using appropriate social science research and inquiry methods. They will also communicate the results of their research and inquiry clearly and effectively, and reflect on and evaluate their research, inquiry, and communication skills.</w:t>
            </w:r>
          </w:p>
        </w:tc>
        <w:tc>
          <w:tcPr/>
          <w:p w:rsidR="00000000" w:rsidDel="00000000" w:rsidP="00000000" w:rsidRDefault="00000000" w:rsidRPr="00000000" w14:paraId="0000005F">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0">
            <w:pPr>
              <w:rPr>
                <w:rFonts w:ascii="Arial Narrow" w:cs="Arial Narrow" w:eastAsia="Arial Narrow" w:hAnsi="Arial Narrow"/>
                <w:sz w:val="22"/>
                <w:szCs w:val="22"/>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w:t>
            </w:r>
          </w:p>
          <w:p w:rsidR="00000000" w:rsidDel="00000000" w:rsidP="00000000" w:rsidRDefault="00000000" w:rsidRPr="00000000" w14:paraId="0000006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Social Change</w:t>
            </w:r>
          </w:p>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examine the major theories, perspectives, and methodologies related to social change; the causes and effects of social change; and the patterns and effects of technological change from a social science perspective.</w:t>
            </w:r>
          </w:p>
        </w:tc>
        <w:tc>
          <w:tcPr/>
          <w:p w:rsidR="00000000" w:rsidDel="00000000" w:rsidP="00000000" w:rsidRDefault="00000000" w:rsidRPr="00000000" w14:paraId="00000065">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6">
            <w:pPr>
              <w:rPr>
                <w:rFonts w:ascii="Arial Narrow" w:cs="Arial Narrow" w:eastAsia="Arial Narrow" w:hAnsi="Arial Narrow"/>
                <w:sz w:val="22"/>
                <w:szCs w:val="22"/>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w:t>
            </w:r>
          </w:p>
          <w:p w:rsidR="00000000" w:rsidDel="00000000" w:rsidP="00000000" w:rsidRDefault="00000000" w:rsidRPr="00000000" w14:paraId="0000006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Social Patterns and Trends</w:t>
            </w:r>
          </w:p>
          <w:p w:rsidR="00000000" w:rsidDel="00000000" w:rsidP="00000000" w:rsidRDefault="00000000" w:rsidRPr="00000000" w14:paraId="0000006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B">
            <w:pPr>
              <w:spacing w:after="0" w:before="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have the opportunity to examine demographics as tools for studying social patterns and trends, both nationally and globally. They will also be introduced to forces that shape social trends, such as socio-economic status or cultural traditions. And they will also explore social science theories about social deviance and how various responses to deviance affect individuals and society.</w:t>
            </w:r>
          </w:p>
        </w:tc>
        <w:tc>
          <w:tcPr/>
          <w:p w:rsidR="00000000" w:rsidDel="00000000" w:rsidP="00000000" w:rsidRDefault="00000000" w:rsidRPr="00000000" w14:paraId="0000006C">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w:t>
            </w:r>
          </w:p>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Global Social Challenges</w:t>
            </w:r>
          </w:p>
          <w:p w:rsidR="00000000" w:rsidDel="00000000" w:rsidP="00000000" w:rsidRDefault="00000000" w:rsidRPr="00000000" w14:paraId="0000007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1">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2">
            <w:pPr>
              <w:spacing w:after="0" w:before="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how various social structures and conditions support or limit global inequalities will be examined along with opportunities to assess the impact of globalization on individuals and groups. Finally, students will analyse the impact of unfair or unjust exploitation of people or resources, locally and globally.</w:t>
            </w:r>
          </w:p>
        </w:tc>
        <w:tc>
          <w:tcPr/>
          <w:p w:rsidR="00000000" w:rsidDel="00000000" w:rsidP="00000000" w:rsidRDefault="00000000" w:rsidRPr="00000000" w14:paraId="0000007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4">
            <w:pPr>
              <w:rPr>
                <w:rFonts w:ascii="Arial Narrow" w:cs="Arial Narrow" w:eastAsia="Arial Narrow" w:hAnsi="Arial Narrow"/>
                <w:sz w:val="22"/>
                <w:szCs w:val="22"/>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7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7">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Social Science Research Report - 15%</w:t>
            </w:r>
          </w:p>
          <w:p w:rsidR="00000000" w:rsidDel="00000000" w:rsidP="00000000" w:rsidRDefault="00000000" w:rsidRPr="00000000" w14:paraId="0000007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Final Exam 15%</w:t>
            </w:r>
          </w:p>
        </w:tc>
        <w:tc>
          <w:tcPr/>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7D">
      <w:pPr>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This is a new course for 2023-2024, therefore Major Assignments and Evaluations will not be determined until September 2023</w:t>
      </w:r>
    </w:p>
    <w:p w:rsidR="00000000" w:rsidDel="00000000" w:rsidP="00000000" w:rsidRDefault="00000000" w:rsidRPr="00000000" w14:paraId="0000007E">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7F">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80">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oqJrDjhuix6ehrsArP+jADPGQ==">AMUW2mX5Gn0LzDoVhhbJkNzeBklp26ibxY0hvB5KHO+M2JjN7oLKyFILPlYr7XCY4IYaUMz9s4/l3A/8hsz5zZVbf5msshG2/2qp+r/N3Sbvkew22438XTk=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