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b w:val="1"/>
                <w:sz w:val="26"/>
                <w:szCs w:val="26"/>
              </w:rPr>
            </w:pPr>
            <w:r w:rsidDel="00000000" w:rsidR="00000000" w:rsidRPr="00000000">
              <w:rPr>
                <w:sz w:val="22"/>
                <w:szCs w:val="22"/>
                <w:rtl w:val="0"/>
              </w:rPr>
              <w:t xml:space="preserve">Title of Course:</w:t>
            </w:r>
            <w:r w:rsidDel="00000000" w:rsidR="00000000" w:rsidRPr="00000000">
              <w:rPr>
                <w:b w:val="1"/>
                <w:sz w:val="22"/>
                <w:szCs w:val="22"/>
                <w:rtl w:val="0"/>
              </w:rPr>
              <w:t xml:space="preserve"> </w:t>
            </w:r>
            <w:r w:rsidDel="00000000" w:rsidR="00000000" w:rsidRPr="00000000">
              <w:rPr>
                <w:b w:val="1"/>
                <w:sz w:val="26"/>
                <w:szCs w:val="26"/>
                <w:rtl w:val="0"/>
              </w:rPr>
              <w:t xml:space="preserve">Grade 11 Visual Arts Elective </w:t>
            </w:r>
          </w:p>
          <w:p w:rsidR="00000000" w:rsidDel="00000000" w:rsidP="00000000" w:rsidRDefault="00000000" w:rsidRPr="00000000" w14:paraId="0000000C">
            <w:pPr>
              <w:rPr>
                <w:b w:val="1"/>
                <w:sz w:val="26"/>
                <w:szCs w:val="26"/>
              </w:rPr>
            </w:pPr>
            <w:r w:rsidDel="00000000" w:rsidR="00000000" w:rsidRPr="00000000">
              <w:rPr>
                <w:b w:val="1"/>
                <w:sz w:val="26"/>
                <w:szCs w:val="26"/>
                <w:rtl w:val="0"/>
              </w:rPr>
              <w:t xml:space="preserve">                        AVI 3M1</w:t>
            </w:r>
          </w:p>
          <w:p w:rsidR="00000000" w:rsidDel="00000000" w:rsidP="00000000" w:rsidRDefault="00000000" w:rsidRPr="00000000" w14:paraId="0000000D">
            <w:pPr>
              <w:rPr>
                <w:sz w:val="22"/>
                <w:szCs w:val="22"/>
              </w:rPr>
            </w:pPr>
            <w:r w:rsidDel="00000000" w:rsidR="00000000" w:rsidRPr="00000000">
              <w:rPr>
                <w:sz w:val="22"/>
                <w:szCs w:val="22"/>
                <w:rtl w:val="0"/>
              </w:rPr>
              <w:t xml:space="preserve">                                                                           </w:t>
            </w:r>
          </w:p>
        </w:tc>
        <w:tc>
          <w:tcPr>
            <w:gridSpan w:val="2"/>
          </w:tcPr>
          <w:p w:rsidR="00000000" w:rsidDel="00000000" w:rsidP="00000000" w:rsidRDefault="00000000" w:rsidRPr="00000000" w14:paraId="0000000E">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1">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2">
            <w:pPr>
              <w:rPr>
                <w:b w:val="1"/>
                <w:sz w:val="26"/>
                <w:szCs w:val="26"/>
              </w:rPr>
            </w:pPr>
            <w:r w:rsidDel="00000000" w:rsidR="00000000" w:rsidRPr="00000000">
              <w:rPr>
                <w:sz w:val="22"/>
                <w:szCs w:val="22"/>
                <w:rtl w:val="0"/>
              </w:rPr>
              <w:t xml:space="preserve">     Department: </w:t>
            </w:r>
            <w:r w:rsidDel="00000000" w:rsidR="00000000" w:rsidRPr="00000000">
              <w:rPr>
                <w:b w:val="1"/>
                <w:sz w:val="26"/>
                <w:szCs w:val="26"/>
                <w:rtl w:val="0"/>
              </w:rPr>
              <w:t xml:space="preserve">Visual Arts</w:t>
            </w:r>
          </w:p>
        </w:tc>
        <w:tc>
          <w:tcPr>
            <w:gridSpan w:val="2"/>
          </w:tcPr>
          <w:p w:rsidR="00000000" w:rsidDel="00000000" w:rsidP="00000000" w:rsidRDefault="00000000" w:rsidRPr="00000000" w14:paraId="00000013">
            <w:pPr>
              <w:jc w:val="right"/>
              <w:rPr>
                <w:sz w:val="22"/>
                <w:szCs w:val="22"/>
              </w:rPr>
            </w:pPr>
            <w:r w:rsidDel="00000000" w:rsidR="00000000" w:rsidRPr="00000000">
              <w:rPr>
                <w:rtl w:val="0"/>
              </w:rPr>
            </w:r>
          </w:p>
        </w:tc>
      </w:tr>
    </w:tbl>
    <w:p w:rsidR="00000000" w:rsidDel="00000000" w:rsidP="00000000" w:rsidRDefault="00000000" w:rsidRPr="00000000" w14:paraId="00000015">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6">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47626</wp:posOffset>
                      </wp:positionH>
                      <wp:positionV relativeFrom="paragraph">
                        <wp:posOffset>47625</wp:posOffset>
                      </wp:positionV>
                      <wp:extent cx="6776085" cy="1208656"/>
                      <wp:effectExtent b="0" l="0" r="0" t="0"/>
                      <wp:wrapNone/>
                      <wp:docPr id="1" name=""/>
                      <a:graphic>
                        <a:graphicData uri="http://schemas.microsoft.com/office/word/2010/wordprocessingShape">
                          <wps:wsp>
                            <wps:cNvSpPr/>
                            <wps:cNvPr id="2" name="Shape 2"/>
                            <wps:spPr>
                              <a:xfrm>
                                <a:off x="1467420" y="3231310"/>
                                <a:ext cx="6766500" cy="1097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This course is directed towards students who have a joy of making art and also serves as a basis for students who wish to pursue further studies in Visual Art and Design in Post-Secondary studies.  Students will explore and experiment with drawing, painting, printmaking, sculpture, design,  innovative technologies and  alternative processes.   Art history will be integrated into this class to help the students make relevant work, based on knowledge of our discipline.   Sketchbook work is an essential part of our curriculum, allowing students to experiment and refine their techniques before creating their final works.  Artist statements and critique round out our learning, fostering the students to be able to write and speak about their creations effectively.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47626</wp:posOffset>
                      </wp:positionH>
                      <wp:positionV relativeFrom="paragraph">
                        <wp:posOffset>47625</wp:posOffset>
                      </wp:positionV>
                      <wp:extent cx="6776085" cy="1208656"/>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76085" cy="1208656"/>
                              </a:xfrm>
                              <a:prstGeom prst="rect"/>
                              <a:ln/>
                            </pic:spPr>
                          </pic:pic>
                        </a:graphicData>
                      </a:graphic>
                    </wp:anchor>
                  </w:drawing>
                </mc:Fallback>
              </mc:AlternateConten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r>
    </w:tbl>
    <w:p w:rsidR="00000000" w:rsidDel="00000000" w:rsidP="00000000" w:rsidRDefault="00000000" w:rsidRPr="00000000" w14:paraId="0000001E">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F">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20">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8">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6">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7">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9">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A">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B">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D">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30">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31">
            <w:pPr>
              <w:spacing w:before="120" w:lineRule="auto"/>
              <w:jc w:val="center"/>
              <w:rPr>
                <w:sz w:val="22"/>
                <w:szCs w:val="22"/>
              </w:rPr>
            </w:pPr>
            <w:r w:rsidDel="00000000" w:rsidR="00000000" w:rsidRPr="00000000">
              <w:rPr>
                <w:sz w:val="22"/>
                <w:szCs w:val="22"/>
                <w:rtl w:val="0"/>
              </w:rPr>
              <w:t xml:space="preserve">60%</w:t>
            </w:r>
          </w:p>
        </w:tc>
        <w:tc>
          <w:tcPr>
            <w:vMerge w:val="restart"/>
          </w:tcPr>
          <w:p w:rsidR="00000000" w:rsidDel="00000000" w:rsidP="00000000" w:rsidRDefault="00000000" w:rsidRPr="00000000" w14:paraId="00000032">
            <w:pPr>
              <w:spacing w:before="120" w:lineRule="auto"/>
              <w:rPr>
                <w:sz w:val="22"/>
                <w:szCs w:val="22"/>
              </w:rPr>
            </w:pPr>
            <w:r w:rsidDel="00000000" w:rsidR="00000000" w:rsidRPr="00000000">
              <w:rPr>
                <w:sz w:val="22"/>
                <w:szCs w:val="22"/>
                <w:rtl w:val="0"/>
              </w:rPr>
              <w:t xml:space="preserve">Process Work, Artist Statement &amp; Artist Talk</w:t>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40%</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D">
            <w:pPr>
              <w:spacing w:before="120" w:lineRule="auto"/>
              <w:jc w:val="center"/>
              <w:rPr>
                <w:sz w:val="22"/>
                <w:szCs w:val="22"/>
              </w:rPr>
            </w:pPr>
            <w:r w:rsidDel="00000000" w:rsidR="00000000" w:rsidRPr="00000000">
              <w:rPr>
                <w:sz w:val="22"/>
                <w:szCs w:val="22"/>
                <w:rtl w:val="0"/>
              </w:rPr>
              <w:t xml:space="preserve">40%</w:t>
            </w:r>
          </w:p>
        </w:tc>
        <w:tc>
          <w:tcPr>
            <w:vMerge w:val="restart"/>
          </w:tcPr>
          <w:p w:rsidR="00000000" w:rsidDel="00000000" w:rsidP="00000000" w:rsidRDefault="00000000" w:rsidRPr="00000000" w14:paraId="0000003E">
            <w:pPr>
              <w:spacing w:before="120" w:lineRule="auto"/>
              <w:rPr>
                <w:sz w:val="22"/>
                <w:szCs w:val="22"/>
              </w:rPr>
            </w:pPr>
            <w:r w:rsidDel="00000000" w:rsidR="00000000" w:rsidRPr="00000000">
              <w:rPr>
                <w:sz w:val="22"/>
                <w:szCs w:val="22"/>
                <w:rtl w:val="0"/>
              </w:rPr>
              <w:t xml:space="preserve">Architectural Composition with Various Media</w:t>
            </w:r>
          </w:p>
        </w:tc>
      </w:tr>
      <w:tr>
        <w:trPr>
          <w:cantSplit w:val="0"/>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40">
            <w:pPr>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041">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7">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8">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9">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A">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B">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rPr>
          <w:sz w:val="6"/>
          <w:szCs w:val="6"/>
        </w:rPr>
      </w:pPr>
      <w:r w:rsidDel="00000000" w:rsidR="00000000" w:rsidRPr="00000000">
        <w:rPr>
          <w:rtl w:val="0"/>
        </w:rPr>
      </w:r>
    </w:p>
    <w:p w:rsidR="00000000" w:rsidDel="00000000" w:rsidP="00000000" w:rsidRDefault="00000000" w:rsidRPr="00000000" w14:paraId="0000004E">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F">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50">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1">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54">
      <w:pPr>
        <w:rPr>
          <w:sz w:val="6"/>
          <w:szCs w:val="6"/>
        </w:rPr>
      </w:pPr>
      <w:r w:rsidDel="00000000" w:rsidR="00000000" w:rsidRPr="00000000">
        <w:rPr>
          <w:sz w:val="6"/>
          <w:szCs w:val="6"/>
          <w:rtl w:val="0"/>
        </w:rPr>
        <w:t xml:space="preserve">\\\\</w:t>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p w:rsidR="00000000" w:rsidDel="00000000" w:rsidP="00000000" w:rsidRDefault="00000000" w:rsidRPr="00000000" w14:paraId="0000005D">
      <w:pPr>
        <w:rPr>
          <w:sz w:val="6"/>
          <w:szCs w:val="6"/>
        </w:rPr>
      </w:pPr>
      <w:r w:rsidDel="00000000" w:rsidR="00000000" w:rsidRPr="00000000">
        <w:rPr>
          <w:rtl w:val="0"/>
        </w:rPr>
      </w:r>
    </w:p>
    <w:p w:rsidR="00000000" w:rsidDel="00000000" w:rsidP="00000000" w:rsidRDefault="00000000" w:rsidRPr="00000000" w14:paraId="0000005E">
      <w:pPr>
        <w:rPr>
          <w:sz w:val="6"/>
          <w:szCs w:val="6"/>
        </w:rPr>
      </w:pPr>
      <w:r w:rsidDel="00000000" w:rsidR="00000000" w:rsidRPr="00000000">
        <w:rPr>
          <w:rtl w:val="0"/>
        </w:rPr>
      </w:r>
    </w:p>
    <w:p w:rsidR="00000000" w:rsidDel="00000000" w:rsidP="00000000" w:rsidRDefault="00000000" w:rsidRPr="00000000" w14:paraId="0000005F">
      <w:pPr>
        <w:rPr>
          <w:sz w:val="6"/>
          <w:szCs w:val="6"/>
        </w:rPr>
      </w:pPr>
      <w:r w:rsidDel="00000000" w:rsidR="00000000" w:rsidRPr="00000000">
        <w:rPr>
          <w:rtl w:val="0"/>
        </w:rPr>
      </w:r>
    </w:p>
    <w:p w:rsidR="00000000" w:rsidDel="00000000" w:rsidP="00000000" w:rsidRDefault="00000000" w:rsidRPr="00000000" w14:paraId="00000060">
      <w:pPr>
        <w:rPr>
          <w:sz w:val="6"/>
          <w:szCs w:val="6"/>
        </w:rPr>
      </w:pPr>
      <w:r w:rsidDel="00000000" w:rsidR="00000000" w:rsidRPr="00000000">
        <w:rPr>
          <w:rtl w:val="0"/>
        </w:rPr>
      </w:r>
    </w:p>
    <w:p w:rsidR="00000000" w:rsidDel="00000000" w:rsidP="00000000" w:rsidRDefault="00000000" w:rsidRPr="00000000" w14:paraId="00000061">
      <w:pPr>
        <w:rPr>
          <w:sz w:val="6"/>
          <w:szCs w:val="6"/>
        </w:rPr>
      </w:pPr>
      <w:r w:rsidDel="00000000" w:rsidR="00000000" w:rsidRPr="00000000">
        <w:rPr>
          <w:rtl w:val="0"/>
        </w:rPr>
      </w:r>
    </w:p>
    <w:tbl>
      <w:tblPr>
        <w:tblStyle w:val="Table7"/>
        <w:tblW w:w="110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9105"/>
        <w:tblGridChange w:id="0">
          <w:tblGrid>
            <w:gridCol w:w="1980"/>
            <w:gridCol w:w="9105"/>
          </w:tblGrid>
        </w:tblGridChange>
      </w:tblGrid>
      <w:tr>
        <w:trPr>
          <w:cantSplit w:val="0"/>
          <w:trHeight w:val="291" w:hRule="atLeast"/>
          <w:tblHeader w:val="0"/>
        </w:trPr>
        <w:tc>
          <w:tcPr>
            <w:gridSpan w:val="2"/>
          </w:tcPr>
          <w:p w:rsidR="00000000" w:rsidDel="00000000" w:rsidP="00000000" w:rsidRDefault="00000000" w:rsidRPr="00000000" w14:paraId="00000062">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4">
            <w:pPr>
              <w:jc w:val="center"/>
              <w:rPr>
                <w:b w:val="1"/>
                <w:sz w:val="22"/>
                <w:szCs w:val="22"/>
              </w:rPr>
            </w:pPr>
            <w:r w:rsidDel="00000000" w:rsidR="00000000" w:rsidRPr="00000000">
              <w:rPr>
                <w:rtl w:val="0"/>
              </w:rPr>
            </w:r>
          </w:p>
        </w:tc>
        <w:tc>
          <w:tcPr>
            <w:vAlign w:val="center"/>
          </w:tcPr>
          <w:p w:rsidR="00000000" w:rsidDel="00000000" w:rsidP="00000000" w:rsidRDefault="00000000" w:rsidRPr="00000000" w14:paraId="00000065">
            <w:pPr>
              <w:jc w:val="center"/>
              <w:rPr>
                <w:b w:val="1"/>
                <w:sz w:val="22"/>
                <w:szCs w:val="22"/>
              </w:rPr>
            </w:pPr>
            <w:r w:rsidDel="00000000" w:rsidR="00000000" w:rsidRPr="00000000">
              <w:rPr>
                <w:b w:val="1"/>
                <w:sz w:val="22"/>
                <w:szCs w:val="22"/>
                <w:rtl w:val="0"/>
              </w:rPr>
              <w:t xml:space="preserve">Overview</w:t>
            </w:r>
          </w:p>
        </w:tc>
      </w:tr>
      <w:tr>
        <w:trPr>
          <w:cantSplit w:val="0"/>
          <w:trHeight w:val="233" w:hRule="atLeast"/>
          <w:tblHeader w:val="0"/>
        </w:trPr>
        <w:tc>
          <w:tcPr/>
          <w:p w:rsidR="00000000" w:rsidDel="00000000" w:rsidP="00000000" w:rsidRDefault="00000000" w:rsidRPr="00000000" w14:paraId="00000066">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7">
            <w:pPr>
              <w:rPr>
                <w:b w:val="1"/>
                <w:sz w:val="28"/>
                <w:szCs w:val="28"/>
              </w:rPr>
            </w:pPr>
            <w:r w:rsidDel="00000000" w:rsidR="00000000" w:rsidRPr="00000000">
              <w:rPr>
                <w:b w:val="1"/>
                <w:sz w:val="28"/>
                <w:szCs w:val="28"/>
                <w:rtl w:val="0"/>
              </w:rPr>
              <w:t xml:space="preserve">Acrylic Painting</w:t>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b w:val="1"/>
                <w:sz w:val="22"/>
                <w:szCs w:val="22"/>
              </w:rPr>
            </w:pPr>
            <w:r w:rsidDel="00000000" w:rsidR="00000000" w:rsidRPr="00000000">
              <w:rPr>
                <w:rtl w:val="0"/>
              </w:rPr>
            </w:r>
          </w:p>
        </w:tc>
        <w:tc>
          <w:tcPr/>
          <w:p w:rsidR="00000000" w:rsidDel="00000000" w:rsidP="00000000" w:rsidRDefault="00000000" w:rsidRPr="00000000" w14:paraId="0000006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B">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An introduction of acrylic paint techniques  as a vehicle of achieving both realism as well as researching and exploring representational artworks. Some of the techniques explored in this unit will include:  blending, colour mixing &amp; expressive brush handling.  </w:t>
            </w:r>
          </w:p>
          <w:p w:rsidR="00000000" w:rsidDel="00000000" w:rsidP="00000000" w:rsidRDefault="00000000" w:rsidRPr="00000000" w14:paraId="0000006C">
            <w:pPr>
              <w:widowControl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Culminating task:</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 Still life composition of object chosen by student in consultation with the teacher, using acrylic paint on a prepared canvas.</w:t>
            </w:r>
          </w:p>
          <w:p w:rsidR="00000000" w:rsidDel="00000000" w:rsidP="00000000" w:rsidRDefault="00000000" w:rsidRPr="00000000" w14:paraId="0000006D">
            <w:pPr>
              <w:rPr>
                <w:b w:val="1"/>
                <w:sz w:val="22"/>
                <w:szCs w:val="22"/>
              </w:rPr>
            </w:pPr>
            <w:r w:rsidDel="00000000" w:rsidR="00000000" w:rsidRPr="00000000">
              <w:rPr>
                <w:rFonts w:ascii="Arial" w:cs="Arial" w:eastAsia="Arial" w:hAnsi="Arial"/>
                <w:sz w:val="18"/>
                <w:szCs w:val="18"/>
                <w:rtl w:val="0"/>
              </w:rPr>
              <w:t xml:space="preserve">Final piece will be supported by sketchbook drawing and painting process exercises and practice canvas, in class activities/experimentation with the medium, photos and composition studies.</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E">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F">
            <w:pPr>
              <w:rPr>
                <w:sz w:val="26"/>
                <w:szCs w:val="26"/>
              </w:rPr>
            </w:pPr>
            <w:r w:rsidDel="00000000" w:rsidR="00000000" w:rsidRPr="00000000">
              <w:rPr>
                <w:rFonts w:ascii="Arial" w:cs="Arial" w:eastAsia="Arial" w:hAnsi="Arial"/>
                <w:b w:val="1"/>
                <w:sz w:val="26"/>
                <w:szCs w:val="26"/>
                <w:rtl w:val="0"/>
              </w:rPr>
              <w:t xml:space="preserve">Mark Making Composition</w:t>
            </w:r>
            <w:r w:rsidDel="00000000" w:rsidR="00000000" w:rsidRPr="00000000">
              <w:rPr>
                <w:rtl w:val="0"/>
              </w:rPr>
            </w:r>
          </w:p>
          <w:p w:rsidR="00000000" w:rsidDel="00000000" w:rsidP="00000000" w:rsidRDefault="00000000" w:rsidRPr="00000000" w14:paraId="00000070">
            <w:pPr>
              <w:rPr>
                <w:b w:val="1"/>
                <w:sz w:val="22"/>
                <w:szCs w:val="22"/>
              </w:rPr>
            </w:pPr>
            <w:r w:rsidDel="00000000" w:rsidR="00000000" w:rsidRPr="00000000">
              <w:rPr>
                <w:rtl w:val="0"/>
              </w:rPr>
            </w:r>
          </w:p>
        </w:tc>
        <w:tc>
          <w:tcPr/>
          <w:p w:rsidR="00000000" w:rsidDel="00000000" w:rsidP="00000000" w:rsidRDefault="00000000" w:rsidRPr="00000000" w14:paraId="00000071">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This unit allows students to playfully explore various techniques and media.  A challenging design element is also included.  Some of the techniques explored in this unit will include:  colour consistency, masking, washes, mixed media and layering as well as experimenting with non-traditional media.</w:t>
            </w:r>
          </w:p>
          <w:p w:rsidR="00000000" w:rsidDel="00000000" w:rsidP="00000000" w:rsidRDefault="00000000" w:rsidRPr="00000000" w14:paraId="00000073">
            <w:pPr>
              <w:widowControl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Culminating task: </w:t>
            </w:r>
            <w:r w:rsidDel="00000000" w:rsidR="00000000" w:rsidRPr="00000000">
              <w:rPr>
                <w:rFonts w:ascii="Arial" w:cs="Arial" w:eastAsia="Arial" w:hAnsi="Arial"/>
                <w:sz w:val="18"/>
                <w:szCs w:val="18"/>
                <w:rtl w:val="0"/>
              </w:rPr>
              <w:t xml:space="preserve"> the creation of a triptych based on experimentation with various media.</w:t>
            </w:r>
          </w:p>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Final piece will be supported by sketchbook process exercises, in class activities/experimentation with the medium, compositional studies, artist statement and critique.</w:t>
            </w:r>
          </w:p>
        </w:tc>
      </w:tr>
      <w:tr>
        <w:trPr>
          <w:cantSplit w:val="0"/>
          <w:trHeight w:val="233" w:hRule="atLeast"/>
          <w:tblHeader w:val="0"/>
        </w:trPr>
        <w:tc>
          <w:tcPr/>
          <w:p w:rsidR="00000000" w:rsidDel="00000000" w:rsidP="00000000" w:rsidRDefault="00000000" w:rsidRPr="00000000" w14:paraId="00000075">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6">
            <w:pPr>
              <w:rPr>
                <w:b w:val="1"/>
                <w:sz w:val="28"/>
                <w:szCs w:val="28"/>
              </w:rPr>
            </w:pPr>
            <w:r w:rsidDel="00000000" w:rsidR="00000000" w:rsidRPr="00000000">
              <w:rPr>
                <w:b w:val="1"/>
                <w:sz w:val="28"/>
                <w:szCs w:val="28"/>
                <w:rtl w:val="0"/>
              </w:rPr>
              <w:t xml:space="preserve">Art History Presentation</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b w:val="1"/>
                <w:sz w:val="22"/>
                <w:szCs w:val="22"/>
              </w:rPr>
            </w:pPr>
            <w:r w:rsidDel="00000000" w:rsidR="00000000" w:rsidRPr="00000000">
              <w:rPr>
                <w:rtl w:val="0"/>
              </w:rPr>
            </w:r>
          </w:p>
        </w:tc>
        <w:tc>
          <w:tcPr/>
          <w:p w:rsidR="00000000" w:rsidDel="00000000" w:rsidP="00000000" w:rsidRDefault="00000000" w:rsidRPr="00000000" w14:paraId="00000079">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An in-depth study of art/architecture created by Western and International artists and their evolution of art styles from NeoClassicism to present day.   Students will get an understanding of contemporary art-making and their position in it by studying artworks from the past and present.</w:t>
            </w:r>
          </w:p>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Culminating task:</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 A presentation comparing and contrasting two art movements of the student’s choice.This will be done in pairs or groups of three.</w:t>
            </w:r>
          </w:p>
          <w:p w:rsidR="00000000" w:rsidDel="00000000" w:rsidP="00000000" w:rsidRDefault="00000000" w:rsidRPr="00000000" w14:paraId="0000007C">
            <w:pPr>
              <w:rPr>
                <w:rFonts w:ascii="Arial" w:cs="Arial" w:eastAsia="Arial" w:hAnsi="Arial"/>
                <w:sz w:val="18"/>
                <w:szCs w:val="18"/>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D">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E">
            <w:pPr>
              <w:rPr>
                <w:sz w:val="26"/>
                <w:szCs w:val="26"/>
              </w:rPr>
            </w:pPr>
            <w:r w:rsidDel="00000000" w:rsidR="00000000" w:rsidRPr="00000000">
              <w:rPr>
                <w:rFonts w:ascii="Arial" w:cs="Arial" w:eastAsia="Arial" w:hAnsi="Arial"/>
                <w:b w:val="1"/>
                <w:sz w:val="26"/>
                <w:szCs w:val="26"/>
                <w:rtl w:val="0"/>
              </w:rPr>
              <w:t xml:space="preserve">Large Scale Drawing</w:t>
            </w:r>
            <w:r w:rsidDel="00000000" w:rsidR="00000000" w:rsidRPr="00000000">
              <w:rPr>
                <w:rtl w:val="0"/>
              </w:rPr>
            </w:r>
          </w:p>
          <w:p w:rsidR="00000000" w:rsidDel="00000000" w:rsidP="00000000" w:rsidRDefault="00000000" w:rsidRPr="00000000" w14:paraId="0000007F">
            <w:pPr>
              <w:rPr>
                <w:b w:val="1"/>
                <w:sz w:val="22"/>
                <w:szCs w:val="22"/>
              </w:rPr>
            </w:pPr>
            <w:r w:rsidDel="00000000" w:rsidR="00000000" w:rsidRPr="00000000">
              <w:rPr>
                <w:rtl w:val="0"/>
              </w:rPr>
            </w:r>
          </w:p>
        </w:tc>
        <w:tc>
          <w:tcPr/>
          <w:p w:rsidR="00000000" w:rsidDel="00000000" w:rsidP="00000000" w:rsidRDefault="00000000" w:rsidRPr="00000000" w14:paraId="00000080">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1">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This unit is a study of various compositional strategies and media techniques developed from previous years.  The students are challenged with creating a reductive drawing with charcoal and conte on a larger scale.</w:t>
            </w:r>
          </w:p>
          <w:p w:rsidR="00000000" w:rsidDel="00000000" w:rsidP="00000000" w:rsidRDefault="00000000" w:rsidRPr="00000000" w14:paraId="00000082">
            <w:pPr>
              <w:widowControl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Culminating task: </w:t>
            </w:r>
            <w:r w:rsidDel="00000000" w:rsidR="00000000" w:rsidRPr="00000000">
              <w:rPr>
                <w:rFonts w:ascii="Arial" w:cs="Arial" w:eastAsia="Arial" w:hAnsi="Arial"/>
                <w:sz w:val="18"/>
                <w:szCs w:val="18"/>
                <w:rtl w:val="0"/>
              </w:rPr>
              <w:t xml:space="preserve">creation of a large scale architectural or furniture  drawing in conte and charcoal on paper.</w:t>
            </w:r>
          </w:p>
          <w:p w:rsidR="00000000" w:rsidDel="00000000" w:rsidP="00000000" w:rsidRDefault="00000000" w:rsidRPr="00000000" w14:paraId="00000083">
            <w:pPr>
              <w:rPr>
                <w:rFonts w:ascii="Arial" w:cs="Arial" w:eastAsia="Arial" w:hAnsi="Arial"/>
                <w:sz w:val="18"/>
                <w:szCs w:val="18"/>
              </w:rPr>
            </w:pPr>
            <w:r w:rsidDel="00000000" w:rsidR="00000000" w:rsidRPr="00000000">
              <w:rPr>
                <w:rFonts w:ascii="Arial" w:cs="Arial" w:eastAsia="Arial" w:hAnsi="Arial"/>
                <w:sz w:val="18"/>
                <w:szCs w:val="18"/>
                <w:rtl w:val="0"/>
              </w:rPr>
              <w:t xml:space="preserve">Final piece will be supported by sketchbook thumbnail drawings and photography and an in depth lesson and assignment on 2-point perspective.</w:t>
            </w:r>
          </w:p>
        </w:tc>
      </w:tr>
      <w:tr>
        <w:trPr>
          <w:cantSplit w:val="0"/>
          <w:trHeight w:val="233" w:hRule="atLeast"/>
          <w:tblHeader w:val="0"/>
        </w:trPr>
        <w:tc>
          <w:tcPr/>
          <w:p w:rsidR="00000000" w:rsidDel="00000000" w:rsidP="00000000" w:rsidRDefault="00000000" w:rsidRPr="00000000" w14:paraId="00000084">
            <w:pPr>
              <w:rPr>
                <w:b w:val="1"/>
                <w:sz w:val="28"/>
                <w:szCs w:val="28"/>
              </w:rPr>
            </w:pPr>
            <w:r w:rsidDel="00000000" w:rsidR="00000000" w:rsidRPr="00000000">
              <w:rPr>
                <w:b w:val="1"/>
                <w:sz w:val="28"/>
                <w:szCs w:val="28"/>
                <w:rtl w:val="0"/>
              </w:rPr>
              <w:t xml:space="preserve">Summative:</w:t>
            </w:r>
            <w:r w:rsidDel="00000000" w:rsidR="00000000" w:rsidRPr="00000000">
              <w:rPr>
                <w:rtl w:val="0"/>
              </w:rPr>
            </w:r>
          </w:p>
          <w:p w:rsidR="00000000" w:rsidDel="00000000" w:rsidP="00000000" w:rsidRDefault="00000000" w:rsidRPr="00000000" w14:paraId="00000085">
            <w:pPr>
              <w:rPr>
                <w:b w:val="1"/>
                <w:sz w:val="28"/>
                <w:szCs w:val="28"/>
              </w:rPr>
            </w:pPr>
            <w:r w:rsidDel="00000000" w:rsidR="00000000" w:rsidRPr="00000000">
              <w:rPr>
                <w:b w:val="1"/>
                <w:sz w:val="28"/>
                <w:szCs w:val="28"/>
                <w:rtl w:val="0"/>
              </w:rPr>
              <w:t xml:space="preserve">Architectural Composition with Various Media</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Students will build off their media experimentation in the Mark-Making Unit and techniques from the drawing Unit to create an experimental rendering and manipulation of their own house/building. </w:t>
            </w:r>
          </w:p>
          <w:p w:rsidR="00000000" w:rsidDel="00000000" w:rsidP="00000000" w:rsidRDefault="00000000" w:rsidRPr="00000000" w14:paraId="00000089">
            <w:pPr>
              <w:widowControl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Culminating task:</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A mixed media drawing/creation using a variety of chosen media on paper.</w:t>
            </w:r>
          </w:p>
          <w:p w:rsidR="00000000" w:rsidDel="00000000" w:rsidP="00000000" w:rsidRDefault="00000000" w:rsidRPr="00000000" w14:paraId="0000008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Final piece will be supported by sketchbook brainstorming, photography, artist statement and artist talk.</w:t>
            </w:r>
          </w:p>
          <w:p w:rsidR="00000000" w:rsidDel="00000000" w:rsidP="00000000" w:rsidRDefault="00000000" w:rsidRPr="00000000" w14:paraId="0000008B">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r>
    </w:tbl>
    <w:p w:rsidR="00000000" w:rsidDel="00000000" w:rsidP="00000000" w:rsidRDefault="00000000" w:rsidRPr="00000000" w14:paraId="0000008E">
      <w:pPr>
        <w:rPr>
          <w:sz w:val="10"/>
          <w:szCs w:val="10"/>
        </w:rPr>
      </w:pPr>
      <w:r w:rsidDel="00000000" w:rsidR="00000000" w:rsidRPr="00000000">
        <w:rPr>
          <w:rtl w:val="0"/>
        </w:rPr>
      </w:r>
    </w:p>
    <w:sectPr>
      <w:pgSz w:h="15840" w:w="12240" w:orient="portrait"/>
      <w:pgMar w:bottom="270" w:top="18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dcp.edu.gov.on.ca/en/assessment-evaluation/categories-of-knowledge-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